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1B378CA9" w:rsidR="00B446D3" w:rsidRDefault="00A7085B" w:rsidP="00B446D3">
      <w:pPr>
        <w:ind w:right="-567"/>
        <w:rPr>
          <w:rFonts w:cstheme="minorHAnsi"/>
          <w:b/>
          <w:bCs/>
        </w:rPr>
      </w:pPr>
      <w:bookmarkStart w:id="0" w:name="_Hlk201852803"/>
      <w:bookmarkStart w:id="1" w:name="_Hlk150935450"/>
      <w:bookmarkStart w:id="2" w:name="_Hlk495302387"/>
      <w:r>
        <w:rPr>
          <w:rFonts w:ascii="Calibri" w:eastAsia="Times New Roman" w:hAnsi="Calibri" w:cs="Calibri"/>
          <w:b/>
          <w:bCs/>
          <w:color w:val="000000"/>
          <w:lang w:eastAsia="nl-BE"/>
        </w:rPr>
        <w:t>Overeenkomst</w:t>
      </w:r>
      <w:r w:rsidR="00085DC2">
        <w:rPr>
          <w:rFonts w:ascii="Calibri" w:eastAsia="Times New Roman" w:hAnsi="Calibri" w:cs="Calibri"/>
          <w:b/>
          <w:bCs/>
          <w:color w:val="000000"/>
          <w:lang w:eastAsia="nl-BE"/>
        </w:rPr>
        <w:t>: een vonnis kan niet in de plaats komen van een notariële akte</w:t>
      </w:r>
      <w:r w:rsidR="00200C5A">
        <w:rPr>
          <w:rFonts w:ascii="Calibri" w:eastAsia="Times New Roman" w:hAnsi="Calibri" w:cs="Calibri"/>
          <w:b/>
          <w:bCs/>
          <w:color w:val="000000"/>
          <w:lang w:eastAsia="nl-BE"/>
        </w:rPr>
        <w:t xml:space="preserve">. </w:t>
      </w:r>
      <w:proofErr w:type="spellStart"/>
      <w:r w:rsidR="00001C4B">
        <w:rPr>
          <w:rFonts w:ascii="Calibri" w:eastAsia="Times New Roman" w:hAnsi="Calibri" w:cs="Calibri"/>
          <w:b/>
          <w:bCs/>
          <w:color w:val="000000"/>
          <w:lang w:eastAsia="nl-BE"/>
        </w:rPr>
        <w:t>Cass</w:t>
      </w:r>
      <w:proofErr w:type="spellEnd"/>
      <w:r w:rsidR="00001C4B">
        <w:rPr>
          <w:rFonts w:ascii="Calibri" w:eastAsia="Times New Roman" w:hAnsi="Calibri" w:cs="Calibri"/>
          <w:b/>
          <w:bCs/>
          <w:color w:val="000000"/>
          <w:lang w:eastAsia="nl-BE"/>
        </w:rPr>
        <w:t xml:space="preserve">. 5 </w:t>
      </w:r>
      <w:r w:rsidR="00200C5A">
        <w:rPr>
          <w:rFonts w:ascii="Calibri" w:eastAsia="Times New Roman" w:hAnsi="Calibri" w:cs="Calibri"/>
          <w:b/>
          <w:bCs/>
          <w:color w:val="000000"/>
          <w:lang w:eastAsia="nl-BE"/>
        </w:rPr>
        <w:t>december 2025</w:t>
      </w:r>
      <w:r w:rsidR="00740347">
        <w:rPr>
          <w:rFonts w:ascii="Calibri" w:eastAsia="Times New Roman" w:hAnsi="Calibri" w:cs="Calibri"/>
          <w:b/>
          <w:bCs/>
          <w:color w:val="000000"/>
          <w:lang w:eastAsia="nl-BE"/>
        </w:rPr>
        <w:t xml:space="preserve"> </w:t>
      </w:r>
      <w:bookmarkEnd w:id="0"/>
      <w:r w:rsidR="00B446D3">
        <w:rPr>
          <w:rFonts w:cstheme="minorHAnsi"/>
          <w:b/>
          <w:bCs/>
        </w:rPr>
        <w:t>(Recht op zaterdag)</w:t>
      </w:r>
    </w:p>
    <w:p w14:paraId="45974945" w14:textId="77777777" w:rsidR="005E06CE" w:rsidRPr="005E06CE" w:rsidRDefault="005E06CE" w:rsidP="005E06CE">
      <w:pPr>
        <w:ind w:right="-567"/>
        <w:rPr>
          <w:rFonts w:cstheme="minorHAnsi"/>
        </w:rPr>
      </w:pPr>
      <w:r w:rsidRPr="005E06CE">
        <w:rPr>
          <w:rFonts w:cstheme="minorHAnsi"/>
        </w:rPr>
        <w:t>Krachtens artikel 1134 van het oude Burgerlijk Wetboek, toepasselijk op het geschil, hebben wettig gevormde overeenkomsten voor de partijen kracht van wet, en zij kunnen slechts herroepen worden met hun wederzijds goedvinden of om redenen die de wet toestaat.</w:t>
      </w:r>
    </w:p>
    <w:p w14:paraId="57E2C0B2" w14:textId="1B4D367E" w:rsidR="005E06CE" w:rsidRDefault="005E06CE" w:rsidP="005E06CE">
      <w:pPr>
        <w:ind w:right="-567"/>
        <w:rPr>
          <w:rFonts w:cstheme="minorHAnsi"/>
        </w:rPr>
      </w:pPr>
      <w:r w:rsidRPr="005E06CE">
        <w:rPr>
          <w:rFonts w:cstheme="minorHAnsi"/>
        </w:rPr>
        <w:t>Hieruit volgt dat, wanneer partijen door een wederkerige contractbelofte de totstandkoming van dat contract afhankelijk stellen van de vervulling van een vormvereiste de rechter deze voorwaarde niet door zijn eigen beslissing kan vervangen om het contract te doen ontstaan.</w:t>
      </w:r>
    </w:p>
    <w:p w14:paraId="6155E278" w14:textId="22CB7844" w:rsidR="005E06CE" w:rsidRPr="005E06CE" w:rsidRDefault="005E06CE" w:rsidP="005E06CE">
      <w:pPr>
        <w:ind w:right="-567"/>
        <w:rPr>
          <w:rFonts w:cstheme="minorHAnsi"/>
        </w:rPr>
      </w:pPr>
      <w:r w:rsidRPr="005E06CE">
        <w:rPr>
          <w:rFonts w:cstheme="minorHAnsi"/>
        </w:rPr>
        <w:t xml:space="preserve">Na te hebben vastgesteld dat “de betwiste verkoopbelofte bepaalt dat ‘[…] in afwijking van het gemeen recht, de partijen uitdrukkelijk zijn overeengekomen dat de verkoop pas tot stand komt door, en op het ogenblik van, het verlijden van de authentieke akte die de verkoop vaststelt, zodat zij van deze verkoop een plechtig contract hebben gemaakt’,” kon het arrest </w:t>
      </w:r>
      <w:r>
        <w:rPr>
          <w:rFonts w:cstheme="minorHAnsi"/>
        </w:rPr>
        <w:t xml:space="preserve">van het Hof van beroep van Bergen </w:t>
      </w:r>
      <w:r w:rsidRPr="005E06CE">
        <w:rPr>
          <w:rFonts w:cstheme="minorHAnsi"/>
        </w:rPr>
        <w:t>niet, zonder afbreuk te doen aan de bindende kracht van deze verkoopbelofte en dus met schending van voormeld artikel 1134, beslissen dat, bij gebrek aan medewerking van de eiseres en de partij die in verklaring van gemeenverklaring werd opgeroepen aan het verlijden van de notariële verkoopakte, het bestreden vonnis in de plaats zou treden van een authentieke akte.</w:t>
      </w:r>
    </w:p>
    <w:p w14:paraId="36D0CF82" w14:textId="45D8806E" w:rsidR="004A2605" w:rsidRDefault="005F5EB0" w:rsidP="005F5EB0">
      <w:pPr>
        <w:ind w:right="-567"/>
        <w:rPr>
          <w:rFonts w:cstheme="minorHAnsi"/>
        </w:rPr>
      </w:pPr>
      <w:r w:rsidRPr="005F5EB0">
        <w:rPr>
          <w:rFonts w:cstheme="minorHAnsi"/>
        </w:rPr>
        <w:t xml:space="preserve">Lees het </w:t>
      </w:r>
      <w:bookmarkEnd w:id="1"/>
      <w:bookmarkEnd w:id="2"/>
      <w:r w:rsidR="005E06CE">
        <w:rPr>
          <w:rFonts w:cstheme="minorHAnsi"/>
        </w:rPr>
        <w:fldChar w:fldCharType="begin"/>
      </w:r>
      <w:r w:rsidR="005E06CE">
        <w:rPr>
          <w:rFonts w:cstheme="minorHAnsi"/>
        </w:rPr>
        <w:instrText>HYPERLINK "https://juportal.be/content/ECLI:BE:CASS:2025:ARR.20251205.1F.1/NL"</w:instrText>
      </w:r>
      <w:r w:rsidR="005E06CE">
        <w:rPr>
          <w:rFonts w:cstheme="minorHAnsi"/>
        </w:rPr>
      </w:r>
      <w:r w:rsidR="005E06CE">
        <w:rPr>
          <w:rFonts w:cstheme="minorHAnsi"/>
        </w:rPr>
        <w:fldChar w:fldCharType="separate"/>
      </w:r>
      <w:r w:rsidR="005E06CE">
        <w:rPr>
          <w:rStyle w:val="Hyperlink"/>
          <w:rFonts w:cstheme="minorHAnsi"/>
        </w:rPr>
        <w:t xml:space="preserve">arrest </w:t>
      </w:r>
      <w:r w:rsidR="005E06CE">
        <w:rPr>
          <w:rFonts w:cstheme="minorHAnsi"/>
        </w:rPr>
        <w:fldChar w:fldCharType="end"/>
      </w:r>
    </w:p>
    <w:p w14:paraId="4681BA73" w14:textId="77777777" w:rsidR="005E06CE" w:rsidRDefault="005E06CE" w:rsidP="005F5EB0">
      <w:pPr>
        <w:ind w:right="-567"/>
        <w:rPr>
          <w:rFonts w:cstheme="minorHAnsi"/>
        </w:rPr>
      </w:pPr>
    </w:p>
    <w:p w14:paraId="2EA062C6" w14:textId="77777777" w:rsidR="004E1C56" w:rsidRDefault="004E1C56" w:rsidP="005F5EB0">
      <w:pPr>
        <w:ind w:right="-567"/>
        <w:rPr>
          <w:rFonts w:cstheme="minorHAnsi"/>
        </w:rPr>
      </w:pPr>
    </w:p>
    <w:p w14:paraId="3D4A1CD7" w14:textId="77777777" w:rsidR="004E1C56" w:rsidRDefault="004E1C56" w:rsidP="005F5EB0">
      <w:pPr>
        <w:ind w:right="-567"/>
        <w:rPr>
          <w:rFonts w:cstheme="minorHAnsi"/>
        </w:rPr>
      </w:pPr>
    </w:p>
    <w:p w14:paraId="276709CB" w14:textId="77777777" w:rsidR="004E1C56" w:rsidRDefault="004E1C56" w:rsidP="005F5EB0">
      <w:pPr>
        <w:ind w:right="-567"/>
        <w:rPr>
          <w:rFonts w:cstheme="minorHAnsi"/>
        </w:rPr>
      </w:pPr>
    </w:p>
    <w:p w14:paraId="650AC0E5" w14:textId="77777777" w:rsidR="00C73090" w:rsidRDefault="00C73090"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86A4" w14:textId="77777777" w:rsidR="00BB2D7D" w:rsidRDefault="00BB2D7D" w:rsidP="00C4373D">
      <w:pPr>
        <w:spacing w:after="0" w:line="240" w:lineRule="auto"/>
      </w:pPr>
      <w:r>
        <w:separator/>
      </w:r>
    </w:p>
  </w:endnote>
  <w:endnote w:type="continuationSeparator" w:id="0">
    <w:p w14:paraId="19316400" w14:textId="77777777" w:rsidR="00BB2D7D" w:rsidRDefault="00BB2D7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F7DC" w14:textId="77777777" w:rsidR="00BB2D7D" w:rsidRDefault="00BB2D7D" w:rsidP="00C4373D">
      <w:pPr>
        <w:spacing w:after="0" w:line="240" w:lineRule="auto"/>
      </w:pPr>
      <w:r>
        <w:separator/>
      </w:r>
    </w:p>
  </w:footnote>
  <w:footnote w:type="continuationSeparator" w:id="0">
    <w:p w14:paraId="7FA53022" w14:textId="77777777" w:rsidR="00BB2D7D" w:rsidRDefault="00BB2D7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2"/>
  </w:num>
  <w:num w:numId="2" w16cid:durableId="1601796514">
    <w:abstractNumId w:val="5"/>
  </w:num>
  <w:num w:numId="3" w16cid:durableId="440689025">
    <w:abstractNumId w:val="13"/>
  </w:num>
  <w:num w:numId="4" w16cid:durableId="1901482466">
    <w:abstractNumId w:val="18"/>
  </w:num>
  <w:num w:numId="5" w16cid:durableId="2131043963">
    <w:abstractNumId w:val="30"/>
  </w:num>
  <w:num w:numId="6" w16cid:durableId="2141193137">
    <w:abstractNumId w:val="1"/>
  </w:num>
  <w:num w:numId="7" w16cid:durableId="1513370548">
    <w:abstractNumId w:val="33"/>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39"/>
  </w:num>
  <w:num w:numId="13" w16cid:durableId="1242981590">
    <w:abstractNumId w:val="24"/>
  </w:num>
  <w:num w:numId="14" w16cid:durableId="489247868">
    <w:abstractNumId w:val="29"/>
  </w:num>
  <w:num w:numId="15" w16cid:durableId="1876037715">
    <w:abstractNumId w:val="41"/>
  </w:num>
  <w:num w:numId="16" w16cid:durableId="1374497907">
    <w:abstractNumId w:val="45"/>
  </w:num>
  <w:num w:numId="17" w16cid:durableId="169950374">
    <w:abstractNumId w:val="25"/>
  </w:num>
  <w:num w:numId="18" w16cid:durableId="1039237021">
    <w:abstractNumId w:val="26"/>
  </w:num>
  <w:num w:numId="19" w16cid:durableId="737214983">
    <w:abstractNumId w:val="31"/>
  </w:num>
  <w:num w:numId="20" w16cid:durableId="1602377082">
    <w:abstractNumId w:val="36"/>
  </w:num>
  <w:num w:numId="21" w16cid:durableId="110172665">
    <w:abstractNumId w:val="34"/>
  </w:num>
  <w:num w:numId="22" w16cid:durableId="1058238571">
    <w:abstractNumId w:val="28"/>
  </w:num>
  <w:num w:numId="23" w16cid:durableId="718822067">
    <w:abstractNumId w:val="42"/>
  </w:num>
  <w:num w:numId="24" w16cid:durableId="304354091">
    <w:abstractNumId w:val="44"/>
  </w:num>
  <w:num w:numId="25" w16cid:durableId="971404024">
    <w:abstractNumId w:val="8"/>
  </w:num>
  <w:num w:numId="26" w16cid:durableId="1630160327">
    <w:abstractNumId w:val="11"/>
  </w:num>
  <w:num w:numId="27" w16cid:durableId="1073284371">
    <w:abstractNumId w:val="35"/>
  </w:num>
  <w:num w:numId="28" w16cid:durableId="1285769254">
    <w:abstractNumId w:val="27"/>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8"/>
  </w:num>
  <w:num w:numId="34" w16cid:durableId="581061592">
    <w:abstractNumId w:val="43"/>
  </w:num>
  <w:num w:numId="35" w16cid:durableId="320429449">
    <w:abstractNumId w:val="37"/>
  </w:num>
  <w:num w:numId="36" w16cid:durableId="858933622">
    <w:abstractNumId w:val="6"/>
  </w:num>
  <w:num w:numId="37" w16cid:durableId="1306857178">
    <w:abstractNumId w:val="3"/>
  </w:num>
  <w:num w:numId="38" w16cid:durableId="1035034478">
    <w:abstractNumId w:val="0"/>
  </w:num>
  <w:num w:numId="39" w16cid:durableId="2086300692">
    <w:abstractNumId w:val="32"/>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0"/>
  </w:num>
  <w:num w:numId="45" w16cid:durableId="333846113">
    <w:abstractNumId w:val="23"/>
  </w:num>
  <w:num w:numId="46" w16cid:durableId="1352535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A1A5E"/>
    <w:rsid w:val="000A548A"/>
    <w:rsid w:val="000B13CF"/>
    <w:rsid w:val="000B6370"/>
    <w:rsid w:val="000C3AD8"/>
    <w:rsid w:val="000C4EF8"/>
    <w:rsid w:val="000E195C"/>
    <w:rsid w:val="000E75BF"/>
    <w:rsid w:val="000F1F6A"/>
    <w:rsid w:val="000F6081"/>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F2335"/>
    <w:rsid w:val="004F2CC9"/>
    <w:rsid w:val="004F3541"/>
    <w:rsid w:val="004F401B"/>
    <w:rsid w:val="004F77DD"/>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634B"/>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7B0C"/>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1301</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2025-12-29T09:47:00Z</dcterms:created>
  <dcterms:modified xsi:type="dcterms:W3CDTF">2025-12-29T09:47:00Z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