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DBE3" w14:textId="6B63838F" w:rsidR="008308AF" w:rsidRDefault="00092984"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Modernisering van het arbeidsrecht. Wetsontwerp </w:t>
      </w:r>
      <w:r w:rsidRPr="00092984">
        <w:rPr>
          <w:rFonts w:ascii="Calibri" w:eastAsia="Times New Roman" w:hAnsi="Calibri" w:cs="Calibri"/>
          <w:b/>
          <w:bCs/>
          <w:color w:val="000000"/>
          <w:lang w:eastAsia="nl-BE"/>
        </w:rPr>
        <w:t>houdende diverse arbeidsbepalingen</w:t>
      </w:r>
      <w:r>
        <w:rPr>
          <w:rFonts w:ascii="Calibri" w:eastAsia="Times New Roman" w:hAnsi="Calibri" w:cs="Calibri"/>
          <w:b/>
          <w:bCs/>
          <w:color w:val="000000"/>
          <w:lang w:eastAsia="nl-BE"/>
        </w:rPr>
        <w:t xml:space="preserve"> </w:t>
      </w:r>
      <w:r w:rsidR="008308AF">
        <w:rPr>
          <w:rFonts w:ascii="Calibri" w:eastAsia="Times New Roman" w:hAnsi="Calibri" w:cs="Calibri"/>
          <w:b/>
          <w:bCs/>
          <w:color w:val="000000"/>
          <w:lang w:eastAsia="nl-BE"/>
        </w:rPr>
        <w:t xml:space="preserve">ingediend op </w:t>
      </w:r>
      <w:r>
        <w:rPr>
          <w:rFonts w:ascii="Calibri" w:eastAsia="Times New Roman" w:hAnsi="Calibri" w:cs="Calibri"/>
          <w:b/>
          <w:bCs/>
          <w:color w:val="000000"/>
          <w:lang w:eastAsia="nl-BE"/>
        </w:rPr>
        <w:t>3</w:t>
      </w:r>
      <w:r w:rsidR="008308AF">
        <w:rPr>
          <w:rFonts w:ascii="Calibri" w:eastAsia="Times New Roman" w:hAnsi="Calibri" w:cs="Calibri"/>
          <w:b/>
          <w:bCs/>
          <w:color w:val="000000"/>
          <w:lang w:eastAsia="nl-BE"/>
        </w:rPr>
        <w:t xml:space="preserve"> februari 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p w14:paraId="22CD91B2" w14:textId="3EC640CD" w:rsidR="00181B7C" w:rsidRDefault="00181B7C" w:rsidP="0097221C">
      <w:pPr>
        <w:ind w:right="-567"/>
        <w:rPr>
          <w:rFonts w:cstheme="minorHAnsi"/>
        </w:rPr>
      </w:pPr>
      <w:r w:rsidRPr="00181B7C">
        <w:rPr>
          <w:rFonts w:cstheme="minorHAnsi"/>
          <w:b/>
          <w:bCs/>
        </w:rPr>
        <w:t>Doel</w:t>
      </w:r>
      <w:r w:rsidRPr="00181B7C">
        <w:rPr>
          <w:rFonts w:cstheme="minorHAnsi"/>
          <w:b/>
          <w:bCs/>
        </w:rPr>
        <w:br/>
      </w:r>
      <w:r>
        <w:rPr>
          <w:rFonts w:cstheme="minorHAnsi"/>
        </w:rPr>
        <w:br/>
        <w:t>Het</w:t>
      </w:r>
      <w:r w:rsidRPr="00181B7C">
        <w:rPr>
          <w:rFonts w:cstheme="minorHAnsi"/>
        </w:rPr>
        <w:t xml:space="preserve"> wetsontwerp heeft tot doel het regeerakkoord inzake de modernisering van het arbeidsrecht uit te voeren, in verband met enerzijds de individuele arbeidsbetrekkingen en anderzijds de collectieve arbeidsbetrekkingen. </w:t>
      </w:r>
    </w:p>
    <w:p w14:paraId="5827FCBE" w14:textId="33B401F5" w:rsidR="00181B7C" w:rsidRDefault="00181B7C" w:rsidP="0097221C">
      <w:pPr>
        <w:ind w:right="-567"/>
        <w:rPr>
          <w:rFonts w:cstheme="minorHAnsi"/>
        </w:rPr>
      </w:pPr>
      <w:r w:rsidRPr="00181B7C">
        <w:rPr>
          <w:rFonts w:cstheme="minorHAnsi"/>
          <w:b/>
          <w:bCs/>
        </w:rPr>
        <w:t>Dit wetsontwerp bevat maatregelen op de volgende domeinen</w:t>
      </w:r>
      <w:r>
        <w:rPr>
          <w:rFonts w:cstheme="minorHAnsi"/>
          <w:b/>
          <w:bCs/>
        </w:rPr>
        <w:t xml:space="preserve"> </w:t>
      </w:r>
      <w:r>
        <w:rPr>
          <w:rFonts w:cstheme="minorHAnsi"/>
          <w:b/>
          <w:bCs/>
        </w:rPr>
        <w:br/>
        <w:t>(eigen selectie op basis van de Memorie van Toelichting)</w:t>
      </w:r>
      <w:r w:rsidRPr="00181B7C">
        <w:rPr>
          <w:rFonts w:cstheme="minorHAnsi"/>
        </w:rPr>
        <w:t>:</w:t>
      </w:r>
    </w:p>
    <w:p w14:paraId="6A054D45" w14:textId="7212CC23" w:rsidR="00181B7C" w:rsidRPr="00181B7C" w:rsidRDefault="00181B7C" w:rsidP="0097221C">
      <w:pPr>
        <w:ind w:right="-567"/>
        <w:rPr>
          <w:rFonts w:cstheme="minorHAnsi"/>
        </w:rPr>
      </w:pPr>
      <w:r w:rsidRPr="00181B7C">
        <w:rPr>
          <w:rFonts w:cstheme="minorHAnsi"/>
          <w:b/>
          <w:bCs/>
        </w:rPr>
        <w:t>1° versoepelingen op het vlak van de arbeidsreglementen</w:t>
      </w:r>
      <w:r>
        <w:rPr>
          <w:rFonts w:cstheme="minorHAnsi"/>
          <w:b/>
          <w:bCs/>
        </w:rPr>
        <w:br/>
      </w:r>
      <w:r>
        <w:rPr>
          <w:rFonts w:cstheme="minorHAnsi"/>
          <w:b/>
          <w:bCs/>
        </w:rPr>
        <w:br/>
      </w:r>
      <w:r w:rsidRPr="00181B7C">
        <w:rPr>
          <w:rFonts w:cstheme="minorHAnsi"/>
        </w:rPr>
        <w:t>Deze afdeling voorziet in een aantal versoepelingen op het vlak van de arbeidsreglementen, meer specifiek met betrekking tot de vermelding van de uurroosters. Deze versoepelingen zorgen voor een administratieve vereenvoudiging en meer flexibiliteit in hoofde van de werkgever, maar bieden ook de werknemers meer vrijheid om, binnen de geldende arbeidsduurreglementering en binnen het kader van de gewone arbeidstijd zoals vastgesteld in het arbeidsreglement, in onderling akkoord</w:t>
      </w:r>
      <w:r w:rsidRPr="00181B7C">
        <w:rPr>
          <w:rFonts w:cstheme="minorHAnsi"/>
        </w:rPr>
        <w:t xml:space="preserve"> </w:t>
      </w:r>
      <w:r w:rsidRPr="00181B7C">
        <w:rPr>
          <w:rFonts w:cstheme="minorHAnsi"/>
        </w:rPr>
        <w:t>met de werkgever hun uurrooster vast te stellen en zo beter af te stemmen op hun privéleven (bijvoorbeeld in functie van het schoolleven van hun kinderen).</w:t>
      </w:r>
    </w:p>
    <w:p w14:paraId="12CBE2EC" w14:textId="77777777" w:rsidR="00181B7C" w:rsidRDefault="00181B7C" w:rsidP="0097221C">
      <w:pPr>
        <w:ind w:right="-567"/>
        <w:rPr>
          <w:rFonts w:cstheme="minorHAnsi"/>
        </w:rPr>
      </w:pPr>
      <w:r w:rsidRPr="00181B7C">
        <w:rPr>
          <w:rFonts w:cstheme="minorHAnsi"/>
          <w:b/>
          <w:bCs/>
        </w:rPr>
        <w:t>2° de verlaging van de minimale wekelijkse arbeidsduur</w:t>
      </w:r>
      <w:r>
        <w:rPr>
          <w:rFonts w:cstheme="minorHAnsi"/>
          <w:b/>
          <w:bCs/>
        </w:rPr>
        <w:br/>
      </w:r>
      <w:r>
        <w:rPr>
          <w:rFonts w:cstheme="minorHAnsi"/>
          <w:b/>
          <w:bCs/>
        </w:rPr>
        <w:br/>
      </w:r>
      <w:r>
        <w:rPr>
          <w:rFonts w:cstheme="minorHAnsi"/>
        </w:rPr>
        <w:t>D</w:t>
      </w:r>
      <w:r w:rsidRPr="00181B7C">
        <w:rPr>
          <w:rFonts w:cstheme="minorHAnsi"/>
        </w:rPr>
        <w:t>e verplichting om voor werknemers met een deeltijdse arbeidsovereenkomst te voorzien in een minimale wekelijkse arbeidsduur van een derde van de wekelijkse arbeidsduur van de voltijdse werknemers naar een tiende</w:t>
      </w:r>
      <w:r>
        <w:rPr>
          <w:rFonts w:cstheme="minorHAnsi"/>
        </w:rPr>
        <w:t xml:space="preserve"> wordt verlaagd</w:t>
      </w:r>
      <w:r w:rsidRPr="00181B7C">
        <w:rPr>
          <w:rFonts w:cstheme="minorHAnsi"/>
        </w:rPr>
        <w:t xml:space="preserve">. </w:t>
      </w:r>
    </w:p>
    <w:p w14:paraId="19AC56F1" w14:textId="63496C48" w:rsidR="00181B7C" w:rsidRPr="00181B7C" w:rsidRDefault="00181B7C" w:rsidP="0097221C">
      <w:pPr>
        <w:ind w:right="-567"/>
        <w:rPr>
          <w:rFonts w:cstheme="minorHAnsi"/>
        </w:rPr>
      </w:pPr>
      <w:r w:rsidRPr="00181B7C">
        <w:rPr>
          <w:rFonts w:cstheme="minorHAnsi"/>
        </w:rPr>
        <w:t xml:space="preserve">Voor wie gerechtigd is op het leefloon zal de kleine deeltijdbaan in principe een aantrekkelijke optie zijn. Onder bepaalde voorwaarden komt het extra inkomen dankzij de </w:t>
      </w:r>
      <w:proofErr w:type="spellStart"/>
      <w:r w:rsidRPr="00181B7C">
        <w:rPr>
          <w:rFonts w:cstheme="minorHAnsi"/>
        </w:rPr>
        <w:t>socio</w:t>
      </w:r>
      <w:proofErr w:type="spellEnd"/>
      <w:r w:rsidRPr="00181B7C">
        <w:rPr>
          <w:rFonts w:cstheme="minorHAnsi"/>
        </w:rPr>
        <w:t>-professionele integratievrijstelling bovenop de uitkering.</w:t>
      </w:r>
    </w:p>
    <w:p w14:paraId="5DBDF784" w14:textId="77777777" w:rsidR="00181B7C" w:rsidRDefault="00181B7C" w:rsidP="0097221C">
      <w:pPr>
        <w:ind w:right="-567"/>
        <w:rPr>
          <w:rFonts w:cstheme="minorHAnsi"/>
          <w:b/>
          <w:bCs/>
        </w:rPr>
      </w:pPr>
      <w:r w:rsidRPr="00181B7C">
        <w:rPr>
          <w:rFonts w:cstheme="minorHAnsi"/>
          <w:b/>
          <w:bCs/>
        </w:rPr>
        <w:t xml:space="preserve">3° technische wijzigingen met betrekking tot </w:t>
      </w:r>
      <w:proofErr w:type="spellStart"/>
      <w:r w:rsidRPr="00181B7C">
        <w:rPr>
          <w:rFonts w:cstheme="minorHAnsi"/>
          <w:b/>
          <w:bCs/>
        </w:rPr>
        <w:t>inzetbaarheidsbevorderende</w:t>
      </w:r>
      <w:proofErr w:type="spellEnd"/>
      <w:r w:rsidRPr="00181B7C">
        <w:rPr>
          <w:rFonts w:cstheme="minorHAnsi"/>
          <w:b/>
          <w:bCs/>
        </w:rPr>
        <w:t xml:space="preserve"> maatregelen</w:t>
      </w:r>
    </w:p>
    <w:p w14:paraId="788D752C" w14:textId="77777777" w:rsidR="00082689" w:rsidRDefault="00082689" w:rsidP="0097221C">
      <w:pPr>
        <w:ind w:right="-567"/>
        <w:rPr>
          <w:rFonts w:cstheme="minorHAnsi"/>
        </w:rPr>
      </w:pPr>
      <w:r w:rsidRPr="00082689">
        <w:rPr>
          <w:rFonts w:cstheme="minorHAnsi"/>
        </w:rPr>
        <w:t>De eerste twee wijzigingen zijn taalkundige correcties om ervoor te zorgen dat de Franse en de Nederlandse tekst van artikel 39ter, § 2, tweede lid, met elkaar in overeenstemming zijn. Artikel 39ter, § 5, voorziet op vandaag al in een evaluatie van de maatregel door de Nationale Arbeidsraad en het Beheerscomité van de Rijksdienst voor Arbeidsvoorziening binnen de twee jaar na de inwerkingtreding ervan.</w:t>
      </w:r>
    </w:p>
    <w:p w14:paraId="77785498" w14:textId="06C96DFF" w:rsidR="00082689" w:rsidRPr="00082689" w:rsidRDefault="00082689" w:rsidP="0097221C">
      <w:pPr>
        <w:ind w:right="-567"/>
        <w:rPr>
          <w:rFonts w:cstheme="minorHAnsi"/>
        </w:rPr>
      </w:pPr>
      <w:r w:rsidRPr="00082689">
        <w:rPr>
          <w:rFonts w:cstheme="minorHAnsi"/>
        </w:rPr>
        <w:t>De derde wijziging zorgt ervoor dat die evaluatie nu uiterlijk voor 1 april 2026 dient te gebeuren.</w:t>
      </w:r>
    </w:p>
    <w:p w14:paraId="03B39EC9" w14:textId="77777777" w:rsidR="00181B7C" w:rsidRDefault="00181B7C" w:rsidP="0097221C">
      <w:pPr>
        <w:ind w:right="-567"/>
        <w:rPr>
          <w:rFonts w:cstheme="minorHAnsi"/>
          <w:b/>
          <w:bCs/>
        </w:rPr>
      </w:pPr>
      <w:r w:rsidRPr="00181B7C">
        <w:rPr>
          <w:rFonts w:cstheme="minorHAnsi"/>
          <w:b/>
          <w:bCs/>
        </w:rPr>
        <w:t>4° de afschaffing van het verbod op nachtarbeid</w:t>
      </w:r>
    </w:p>
    <w:p w14:paraId="3B36F7FB" w14:textId="684FFB99" w:rsidR="00082689" w:rsidRDefault="00082689" w:rsidP="0097221C">
      <w:pPr>
        <w:ind w:right="-567"/>
        <w:rPr>
          <w:rFonts w:cstheme="minorHAnsi"/>
        </w:rPr>
      </w:pPr>
      <w:r w:rsidRPr="00082689">
        <w:rPr>
          <w:rFonts w:cstheme="minorHAnsi"/>
        </w:rPr>
        <w:t>Deze artikelen versoepelen de regeling inzake nachtarbeid en wijzigen hiertoe de bepalingen uit hoofdstuk III, afdeling 4 “Nachtarbeid” van de Arbeidswet van 16 maart 1971 en diverse andere regelgeving. Hiermee wordt uitvoering gegeven aan een van de maatregelen uit het federale regeerakk</w:t>
      </w:r>
      <w:r>
        <w:rPr>
          <w:rFonts w:cstheme="minorHAnsi"/>
        </w:rPr>
        <w:t xml:space="preserve">oord. </w:t>
      </w:r>
    </w:p>
    <w:p w14:paraId="0009102B" w14:textId="3033B978" w:rsidR="00082689" w:rsidRPr="00082689" w:rsidRDefault="00082689" w:rsidP="0097221C">
      <w:pPr>
        <w:ind w:right="-567"/>
        <w:rPr>
          <w:rFonts w:cstheme="minorHAnsi"/>
        </w:rPr>
      </w:pPr>
      <w:r w:rsidRPr="00082689">
        <w:rPr>
          <w:rFonts w:cstheme="minorHAnsi"/>
        </w:rPr>
        <w:t>Door de versoepeling van de procedures voor de invoering van bepaalde vormen van nachtarbeid wordt ervoor gezorgd dat België haar economische positie t.o.v. zijn buurlanden versterkt.</w:t>
      </w:r>
    </w:p>
    <w:p w14:paraId="103A9AFD" w14:textId="77777777" w:rsidR="00181B7C" w:rsidRDefault="00181B7C" w:rsidP="0097221C">
      <w:pPr>
        <w:ind w:right="-567"/>
        <w:rPr>
          <w:rFonts w:cstheme="minorHAnsi"/>
          <w:b/>
          <w:bCs/>
        </w:rPr>
      </w:pPr>
      <w:r w:rsidRPr="00181B7C">
        <w:rPr>
          <w:rFonts w:cstheme="minorHAnsi"/>
          <w:b/>
          <w:bCs/>
        </w:rPr>
        <w:t>5° de beperking van de maximale duur van de opzeggingstermijn</w:t>
      </w:r>
    </w:p>
    <w:p w14:paraId="362F8A5F" w14:textId="77777777" w:rsidR="00082689" w:rsidRDefault="00082689" w:rsidP="0097221C">
      <w:pPr>
        <w:ind w:right="-567"/>
        <w:rPr>
          <w:rFonts w:cstheme="minorHAnsi"/>
        </w:rPr>
      </w:pPr>
      <w:r w:rsidRPr="00082689">
        <w:rPr>
          <w:rFonts w:cstheme="minorHAnsi"/>
        </w:rPr>
        <w:lastRenderedPageBreak/>
        <w:t>Dit artikel zorgt ervoor dat, bij opzegging gegeven door de werkgever en voor zover het gaat over een arbeidsovereenkomst waarvan de uitvoering is aangevangen vanaf 1 april 2026 (met andere woorden op 1 april 2026 of een latere datum), de duur van de opzeggingstermijn beperkt wordt tot 52 weken van zodra de werknemer een anciënniteit bereikt van 17 jaar.</w:t>
      </w:r>
    </w:p>
    <w:p w14:paraId="5519FE8B" w14:textId="58DC2D09" w:rsidR="00082689" w:rsidRPr="00082689" w:rsidRDefault="00082689" w:rsidP="0097221C">
      <w:pPr>
        <w:ind w:right="-567"/>
        <w:rPr>
          <w:rFonts w:cstheme="minorHAnsi"/>
        </w:rPr>
      </w:pPr>
      <w:r w:rsidRPr="00082689">
        <w:rPr>
          <w:rFonts w:cstheme="minorHAnsi"/>
        </w:rPr>
        <w:t>Deze beperking van de duur van de opzeggingstermijn geldt dus niet voor arbeidsovereenkomsten waarvan de uitvoering was aangevangen vóór 1 april 2026.</w:t>
      </w:r>
    </w:p>
    <w:p w14:paraId="4DC0C834" w14:textId="56AB56BD" w:rsidR="00181B7C" w:rsidRDefault="00181B7C" w:rsidP="0097221C">
      <w:pPr>
        <w:ind w:right="-567"/>
        <w:rPr>
          <w:rFonts w:cstheme="minorHAnsi"/>
          <w:b/>
          <w:bCs/>
        </w:rPr>
      </w:pPr>
      <w:r w:rsidRPr="00181B7C">
        <w:rPr>
          <w:rFonts w:cstheme="minorHAnsi"/>
          <w:b/>
          <w:bCs/>
        </w:rPr>
        <w:t>6° de uitvoering van punt 2.1 van het advies nr. 2.432 van de Nationale Arbeidsraad van </w:t>
      </w:r>
      <w:r w:rsidR="00082689">
        <w:rPr>
          <w:rFonts w:cstheme="minorHAnsi"/>
          <w:b/>
          <w:bCs/>
        </w:rPr>
        <w:br/>
      </w:r>
      <w:r w:rsidRPr="00181B7C">
        <w:rPr>
          <w:rFonts w:cstheme="minorHAnsi"/>
          <w:b/>
          <w:bCs/>
        </w:rPr>
        <w:t>22 oktober 2024 met betrekking tot uitzendarbeid</w:t>
      </w:r>
    </w:p>
    <w:p w14:paraId="77D762DB" w14:textId="77777777" w:rsidR="00082689" w:rsidRDefault="00082689" w:rsidP="0097221C">
      <w:pPr>
        <w:ind w:right="-567"/>
        <w:rPr>
          <w:rFonts w:cstheme="minorHAnsi"/>
        </w:rPr>
      </w:pPr>
      <w:r w:rsidRPr="00082689">
        <w:rPr>
          <w:rFonts w:cstheme="minorHAnsi"/>
        </w:rPr>
        <w:t xml:space="preserve">Dit artikel schaft de verplichting af om, voor iedere uitzendkracht afzonderlijk, de bedoeling om een arbeidsovereenkomst voor uitzendarbeid te sluiten vast te stellen uiterlijk op het tijdstip waarop de uitzendkracht voor de eerste maal in dienst treedt van het uitzendbureau. </w:t>
      </w:r>
    </w:p>
    <w:p w14:paraId="7EB5C754" w14:textId="77777777" w:rsidR="00082689" w:rsidRDefault="00082689" w:rsidP="0097221C">
      <w:pPr>
        <w:ind w:right="-567"/>
        <w:rPr>
          <w:rFonts w:cstheme="minorHAnsi"/>
        </w:rPr>
      </w:pPr>
      <w:r w:rsidRPr="00082689">
        <w:rPr>
          <w:rFonts w:cstheme="minorHAnsi"/>
        </w:rPr>
        <w:t xml:space="preserve">Deze intentieverklaring is overbodig geworden doordat met de wet van 30 augustus 2016 de regel werd ingevoerd dat elke arbeidsovereenkomst voor uitzendarbeid schriftelijk moet worden vastgesteld uiterlijk op het tijdstip waarop de uitzendkracht in dienst treedt. </w:t>
      </w:r>
    </w:p>
    <w:p w14:paraId="71F4C80C" w14:textId="1CF85A88" w:rsidR="00082689" w:rsidRPr="00082689" w:rsidRDefault="00082689" w:rsidP="0097221C">
      <w:pPr>
        <w:ind w:right="-567"/>
        <w:rPr>
          <w:rFonts w:cstheme="minorHAnsi"/>
        </w:rPr>
      </w:pPr>
      <w:r w:rsidRPr="00082689">
        <w:rPr>
          <w:rFonts w:cstheme="minorHAnsi"/>
        </w:rPr>
        <w:t>Daarmee werd de zgn. 48-urenregel afgeschaft, die het toeliet om arbeidsovereenkomsten voor uitzendarbeid schriftelijk vast te stellen binnen de twee werkdagen te rekenen vanaf het tijdstip waarop de werknemer in dienst trad.</w:t>
      </w:r>
    </w:p>
    <w:p w14:paraId="19616FF2" w14:textId="411495BA" w:rsidR="00181B7C" w:rsidRPr="00181B7C" w:rsidRDefault="00181B7C" w:rsidP="0097221C">
      <w:pPr>
        <w:ind w:right="-567"/>
        <w:rPr>
          <w:rFonts w:cstheme="minorHAnsi"/>
          <w:b/>
          <w:bCs/>
        </w:rPr>
      </w:pPr>
      <w:r w:rsidRPr="00181B7C">
        <w:rPr>
          <w:rFonts w:cstheme="minorHAnsi"/>
          <w:b/>
          <w:bCs/>
        </w:rPr>
        <w:t>7° de wijziging van artikel 8, § 1 en § 2 van de wet van 21 december 2007 betreffende de uitvoering van het interprofessioneel akkoord 2007-2008</w:t>
      </w:r>
    </w:p>
    <w:p w14:paraId="6B8E12DF" w14:textId="127F6567" w:rsidR="00082689" w:rsidRDefault="00082689" w:rsidP="0097221C">
      <w:pPr>
        <w:ind w:right="-567"/>
        <w:rPr>
          <w:rFonts w:cstheme="minorHAnsi"/>
        </w:rPr>
      </w:pPr>
      <w:r w:rsidRPr="00082689">
        <w:rPr>
          <w:rFonts w:cstheme="minorHAnsi"/>
        </w:rPr>
        <w:t>Deze twee artikelen hebben tot doel werkgevers die wensen gebruik te maken van het systeem van de niet-</w:t>
      </w:r>
      <w:proofErr w:type="spellStart"/>
      <w:r w:rsidRPr="00082689">
        <w:rPr>
          <w:rFonts w:cstheme="minorHAnsi"/>
        </w:rPr>
        <w:t>recurrente</w:t>
      </w:r>
      <w:proofErr w:type="spellEnd"/>
      <w:r w:rsidRPr="00082689">
        <w:rPr>
          <w:rFonts w:cstheme="minorHAnsi"/>
        </w:rPr>
        <w:t xml:space="preserve"> </w:t>
      </w:r>
      <w:proofErr w:type="spellStart"/>
      <w:r w:rsidRPr="00082689">
        <w:rPr>
          <w:rFonts w:cstheme="minorHAnsi"/>
        </w:rPr>
        <w:t>resultaatsgebonden</w:t>
      </w:r>
      <w:proofErr w:type="spellEnd"/>
      <w:r w:rsidRPr="00082689">
        <w:rPr>
          <w:rFonts w:cstheme="minorHAnsi"/>
        </w:rPr>
        <w:t xml:space="preserve"> voordelen te verplichten om, indien het toekenningplan kan worden ingediend via toetredingsakte, deze toetredingsakte neer te leggen via elektronische weg (</w:t>
      </w:r>
      <w:hyperlink r:id="rId8" w:history="1">
        <w:r w:rsidRPr="00B15EDE">
          <w:rPr>
            <w:rStyle w:val="Hyperlink"/>
            <w:rFonts w:cstheme="minorHAnsi"/>
          </w:rPr>
          <w:t>www.bonusplannen.be</w:t>
        </w:r>
      </w:hyperlink>
      <w:r w:rsidRPr="00082689">
        <w:rPr>
          <w:rFonts w:cstheme="minorHAnsi"/>
        </w:rPr>
        <w:t xml:space="preserve">). </w:t>
      </w:r>
    </w:p>
    <w:p w14:paraId="1AB24C6B" w14:textId="2397EBDB" w:rsidR="00082689" w:rsidRDefault="00082689" w:rsidP="0097221C">
      <w:pPr>
        <w:ind w:right="-567"/>
        <w:rPr>
          <w:rFonts w:cstheme="minorHAnsi"/>
        </w:rPr>
      </w:pPr>
      <w:r w:rsidRPr="00082689">
        <w:rPr>
          <w:rFonts w:cstheme="minorHAnsi"/>
        </w:rPr>
        <w:t xml:space="preserve">Momenteel worden reeds meer dan 80 % van de toetredingsaktes neergelegd via deze toepassing. </w:t>
      </w:r>
      <w:r>
        <w:rPr>
          <w:rFonts w:cstheme="minorHAnsi"/>
        </w:rPr>
        <w:br/>
      </w:r>
      <w:r w:rsidRPr="00082689">
        <w:rPr>
          <w:rFonts w:cstheme="minorHAnsi"/>
        </w:rPr>
        <w:t>De verplichting is gerechtvaardigd omdat een elektronisch neergelegde toetredingsakte, met inbegrip van het toekenningsplan, in principe automatisch voldoet aan alle verplichte ontvankelijkheidsvoorwaarden.</w:t>
      </w:r>
    </w:p>
    <w:p w14:paraId="067F8575" w14:textId="77777777" w:rsidR="00082689" w:rsidRDefault="00082689" w:rsidP="0097221C">
      <w:pPr>
        <w:ind w:right="-567"/>
        <w:rPr>
          <w:rFonts w:cstheme="minorHAnsi"/>
        </w:rPr>
      </w:pPr>
      <w:r w:rsidRPr="00082689">
        <w:rPr>
          <w:rFonts w:cstheme="minorHAnsi"/>
        </w:rPr>
        <w:t xml:space="preserve">De vooraf geprogrammeerde controles in de toepassing zorgen ervoor dat de administratie nog slechts in uitzonderlijke gevallen moet tussenkomen in het kader van de ontvankelijkheidscontrole. </w:t>
      </w:r>
    </w:p>
    <w:p w14:paraId="71A60618" w14:textId="03950222" w:rsidR="00181B7C" w:rsidRDefault="00082689" w:rsidP="0097221C">
      <w:pPr>
        <w:ind w:right="-567"/>
        <w:rPr>
          <w:rFonts w:cstheme="minorHAnsi"/>
        </w:rPr>
      </w:pPr>
      <w:r w:rsidRPr="00082689">
        <w:rPr>
          <w:rFonts w:cstheme="minorHAnsi"/>
        </w:rPr>
        <w:t xml:space="preserve">De toetredingsakte, met inbegrip van het toekenningplan, kan hierdoor gemiddeld binnen 14 dagen na de neerlegging overgemaakt worden aan het bevoegd Paritair Comité. De toegang tot www.bonusplannen.be gebeurt met de digitale sleutels. Het systeem van aanmelden is hetzelfde als bij andere onlinediensten van de overheid (zoals </w:t>
      </w:r>
      <w:proofErr w:type="spellStart"/>
      <w:r w:rsidRPr="00082689">
        <w:rPr>
          <w:rFonts w:cstheme="minorHAnsi"/>
        </w:rPr>
        <w:t>tax</w:t>
      </w:r>
      <w:proofErr w:type="spellEnd"/>
      <w:r w:rsidRPr="00082689">
        <w:rPr>
          <w:rFonts w:cstheme="minorHAnsi"/>
        </w:rPr>
        <w:t>-on-web).</w:t>
      </w:r>
    </w:p>
    <w:p w14:paraId="42B20272" w14:textId="4A1062AB" w:rsidR="00181B7C" w:rsidRDefault="00181B7C" w:rsidP="0097221C">
      <w:pPr>
        <w:ind w:right="-567"/>
        <w:rPr>
          <w:rFonts w:cstheme="minorHAnsi"/>
        </w:rPr>
      </w:pPr>
      <w:hyperlink r:id="rId9" w:history="1">
        <w:r>
          <w:rPr>
            <w:rStyle w:val="Hyperlink"/>
            <w:rFonts w:cstheme="minorHAnsi"/>
          </w:rPr>
          <w:t>Lees de volledige fiche van het wetsontwerp</w:t>
        </w:r>
      </w:hyperlink>
    </w:p>
    <w:p w14:paraId="0BE32A03" w14:textId="24CF6066" w:rsidR="00181B7C" w:rsidRDefault="00181B7C" w:rsidP="0097221C">
      <w:pPr>
        <w:ind w:right="-567"/>
        <w:rPr>
          <w:rFonts w:cstheme="minorHAnsi"/>
        </w:rPr>
      </w:pPr>
      <w:r w:rsidRPr="00181B7C">
        <w:rPr>
          <w:rFonts w:cstheme="minorHAnsi"/>
        </w:rPr>
        <w:t xml:space="preserve"> </w:t>
      </w:r>
      <w:bookmarkEnd w:id="2"/>
      <w:bookmarkEnd w:id="3"/>
    </w:p>
    <w:sectPr w:rsidR="00181B7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33114" w14:textId="77777777" w:rsidR="000D54F2" w:rsidRDefault="000D54F2" w:rsidP="00C4373D">
      <w:pPr>
        <w:spacing w:after="0" w:line="240" w:lineRule="auto"/>
      </w:pPr>
      <w:r>
        <w:separator/>
      </w:r>
    </w:p>
  </w:endnote>
  <w:endnote w:type="continuationSeparator" w:id="0">
    <w:p w14:paraId="35EC0D6C" w14:textId="77777777" w:rsidR="000D54F2" w:rsidRDefault="000D54F2"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1F87" w14:textId="77777777" w:rsidR="000D54F2" w:rsidRDefault="000D54F2" w:rsidP="00C4373D">
      <w:pPr>
        <w:spacing w:after="0" w:line="240" w:lineRule="auto"/>
      </w:pPr>
      <w:r>
        <w:separator/>
      </w:r>
    </w:p>
  </w:footnote>
  <w:footnote w:type="continuationSeparator" w:id="0">
    <w:p w14:paraId="2084E93D" w14:textId="77777777" w:rsidR="000D54F2" w:rsidRDefault="000D54F2"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2689"/>
    <w:rsid w:val="0008385D"/>
    <w:rsid w:val="00084FE7"/>
    <w:rsid w:val="00085DC2"/>
    <w:rsid w:val="00090416"/>
    <w:rsid w:val="00092984"/>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D54F2"/>
    <w:rsid w:val="000E195C"/>
    <w:rsid w:val="000E70CE"/>
    <w:rsid w:val="000E75BF"/>
    <w:rsid w:val="000F1F6A"/>
    <w:rsid w:val="000F6081"/>
    <w:rsid w:val="00101724"/>
    <w:rsid w:val="001049C6"/>
    <w:rsid w:val="00106BC0"/>
    <w:rsid w:val="001137A8"/>
    <w:rsid w:val="00117149"/>
    <w:rsid w:val="00122D52"/>
    <w:rsid w:val="001245A8"/>
    <w:rsid w:val="00126384"/>
    <w:rsid w:val="00130421"/>
    <w:rsid w:val="00132CE2"/>
    <w:rsid w:val="00136848"/>
    <w:rsid w:val="00140D8D"/>
    <w:rsid w:val="00142636"/>
    <w:rsid w:val="001507DE"/>
    <w:rsid w:val="001645A8"/>
    <w:rsid w:val="00181B7C"/>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6307"/>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835AA"/>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557"/>
    <w:rsid w:val="00453C3C"/>
    <w:rsid w:val="00455D2F"/>
    <w:rsid w:val="00460F9A"/>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15CF"/>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2E70"/>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23686"/>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C98"/>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8AF"/>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0FE2"/>
    <w:rsid w:val="008A2EB6"/>
    <w:rsid w:val="008A7319"/>
    <w:rsid w:val="008A761D"/>
    <w:rsid w:val="008B2023"/>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B660F"/>
    <w:rsid w:val="009C15DF"/>
    <w:rsid w:val="009C2FE8"/>
    <w:rsid w:val="009C4FED"/>
    <w:rsid w:val="009D2874"/>
    <w:rsid w:val="009D3F8F"/>
    <w:rsid w:val="009D619C"/>
    <w:rsid w:val="009E0D10"/>
    <w:rsid w:val="009E4595"/>
    <w:rsid w:val="009E4D63"/>
    <w:rsid w:val="009E655F"/>
    <w:rsid w:val="009F2502"/>
    <w:rsid w:val="009F50EF"/>
    <w:rsid w:val="009F6D0E"/>
    <w:rsid w:val="00A01C4E"/>
    <w:rsid w:val="00A01FC4"/>
    <w:rsid w:val="00A02A7F"/>
    <w:rsid w:val="00A04F4D"/>
    <w:rsid w:val="00A070E2"/>
    <w:rsid w:val="00A111BA"/>
    <w:rsid w:val="00A12427"/>
    <w:rsid w:val="00A13A2D"/>
    <w:rsid w:val="00A168AE"/>
    <w:rsid w:val="00A16FB7"/>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0A1C"/>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4249"/>
    <w:rsid w:val="00DC496E"/>
    <w:rsid w:val="00DE32B4"/>
    <w:rsid w:val="00DE5F04"/>
    <w:rsid w:val="00DF15BB"/>
    <w:rsid w:val="00DF16B0"/>
    <w:rsid w:val="00DF398A"/>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206"/>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07C7"/>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nusplannen.b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kamer.be/kvvcr/showpage.cfm?section=/none&amp;leftmenu=no&amp;language=nl&amp;cfm=/site/wwwcfm/flwb/flwbn.cfm?lang=N&amp;legislat=56&amp;dossierID=1324"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895</Words>
  <Characters>4927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2026-02-04T15:53:00Z</dcterms:created>
  <dcterms:modified xsi:type="dcterms:W3CDTF">2026-02-04T15:53:00Z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