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62E2" w14:textId="77777777" w:rsidR="00184AEF" w:rsidRDefault="00376010" w:rsidP="00376010">
      <w:pPr>
        <w:ind w:right="-567"/>
        <w:rPr>
          <w:rFonts w:cstheme="minorHAnsi"/>
        </w:rPr>
      </w:pPr>
      <w:bookmarkStart w:id="0" w:name="_Hlk150935450"/>
      <w:bookmarkStart w:id="1" w:name="_Hlk495302387"/>
      <w:bookmarkStart w:id="2" w:name="_Hlk201852803"/>
      <w:bookmarkStart w:id="3" w:name="_Hlk218154789"/>
      <w:r>
        <w:rPr>
          <w:rFonts w:ascii="Calibri" w:eastAsia="Times New Roman" w:hAnsi="Calibri" w:cs="Calibri"/>
          <w:b/>
          <w:bCs/>
          <w:color w:val="000000"/>
          <w:lang w:eastAsia="nl-BE"/>
        </w:rPr>
        <w:t>Overheidsopdracht.</w:t>
      </w:r>
      <w:r w:rsidR="003C5D14">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S</w:t>
      </w:r>
      <w:r w:rsidRPr="00376010">
        <w:rPr>
          <w:rFonts w:ascii="Calibri" w:eastAsia="Times New Roman" w:hAnsi="Calibri" w:cs="Calibri"/>
          <w:b/>
          <w:bCs/>
          <w:color w:val="000000"/>
          <w:lang w:eastAsia="nl-BE"/>
        </w:rPr>
        <w:t>tilzwijgend</w:t>
      </w:r>
      <w:r>
        <w:rPr>
          <w:rFonts w:ascii="Calibri" w:eastAsia="Times New Roman" w:hAnsi="Calibri" w:cs="Calibri"/>
          <w:b/>
          <w:bCs/>
          <w:color w:val="000000"/>
          <w:lang w:eastAsia="nl-BE"/>
        </w:rPr>
        <w:t>e</w:t>
      </w:r>
      <w:r w:rsidRPr="00376010">
        <w:rPr>
          <w:rFonts w:ascii="Calibri" w:eastAsia="Times New Roman" w:hAnsi="Calibri" w:cs="Calibri"/>
          <w:b/>
          <w:bCs/>
          <w:color w:val="000000"/>
          <w:lang w:eastAsia="nl-BE"/>
        </w:rPr>
        <w:t xml:space="preserve"> beëindig</w:t>
      </w:r>
      <w:r>
        <w:rPr>
          <w:rFonts w:ascii="Calibri" w:eastAsia="Times New Roman" w:hAnsi="Calibri" w:cs="Calibri"/>
          <w:b/>
          <w:bCs/>
          <w:color w:val="000000"/>
          <w:lang w:eastAsia="nl-BE"/>
        </w:rPr>
        <w:t>ing</w:t>
      </w:r>
      <w:r w:rsidRPr="00376010">
        <w:rPr>
          <w:rFonts w:ascii="Calibri" w:eastAsia="Times New Roman" w:hAnsi="Calibri" w:cs="Calibri"/>
          <w:b/>
          <w:bCs/>
          <w:color w:val="000000"/>
          <w:lang w:eastAsia="nl-BE"/>
        </w:rPr>
        <w:t xml:space="preserve"> door een overlappende opdracht aan een andere partij toe te kennen.</w:t>
      </w:r>
      <w:r>
        <w:rPr>
          <w:rFonts w:ascii="Calibri" w:eastAsia="Times New Roman" w:hAnsi="Calibri" w:cs="Calibri"/>
          <w:b/>
          <w:bCs/>
          <w:color w:val="000000"/>
          <w:lang w:eastAsia="nl-BE"/>
        </w:rPr>
        <w:t xml:space="preserve"> </w:t>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6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2"/>
      <w:r w:rsidR="001A7631">
        <w:rPr>
          <w:rFonts w:ascii="Calibri" w:eastAsia="Times New Roman" w:hAnsi="Calibri" w:cs="Calibri"/>
          <w:b/>
          <w:bCs/>
          <w:color w:val="000000"/>
          <w:lang w:eastAsia="nl-BE"/>
        </w:rPr>
        <w:t xml:space="preserve"> </w:t>
      </w:r>
      <w:r w:rsidR="00B446D3">
        <w:rPr>
          <w:rFonts w:cstheme="minorHAnsi"/>
          <w:b/>
          <w:bCs/>
        </w:rPr>
        <w:t>(Recht op zaterdag)</w:t>
      </w:r>
      <w:bookmarkEnd w:id="3"/>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sidRPr="00376010">
        <w:rPr>
          <w:rFonts w:cstheme="minorHAnsi"/>
        </w:rPr>
        <w:t>De zaak betreft een langdurig geschil tussen de stad La Louvière (openbaar bestuur) en W. &amp; Co (promotor) over de uitvoering en beëindiging van een complex promotie</w:t>
      </w:r>
      <w:r w:rsidRPr="00376010">
        <w:rPr>
          <w:rFonts w:cstheme="minorHAnsi"/>
        </w:rPr>
        <w:noBreakHyphen/>
        <w:t xml:space="preserve">markt voor de herontwikkeling van de site </w:t>
      </w:r>
      <w:proofErr w:type="spellStart"/>
      <w:r w:rsidRPr="00376010">
        <w:rPr>
          <w:rFonts w:cstheme="minorHAnsi"/>
        </w:rPr>
        <w:t>Boch</w:t>
      </w:r>
      <w:proofErr w:type="spellEnd"/>
      <w:r w:rsidRPr="00376010">
        <w:rPr>
          <w:rFonts w:cstheme="minorHAnsi"/>
        </w:rPr>
        <w:t xml:space="preserve">, gegund in 2008, en de latere toewijzing in 2020 van een nieuwe dienstenopdracht (masterplan) aan een derde bureau A.. </w:t>
      </w:r>
    </w:p>
    <w:p w14:paraId="2191F55D" w14:textId="1C3E2FB1" w:rsidR="00376010" w:rsidRPr="00376010" w:rsidRDefault="00376010" w:rsidP="00376010">
      <w:pPr>
        <w:ind w:right="-567"/>
        <w:rPr>
          <w:rFonts w:cstheme="minorHAnsi"/>
        </w:rPr>
      </w:pPr>
      <w:r w:rsidRPr="00376010">
        <w:rPr>
          <w:rFonts w:cstheme="minorHAnsi"/>
        </w:rPr>
        <w:t xml:space="preserve">Het hof van beroep van Bergen oordeelde op 25 september 2024 dat de stad het </w:t>
      </w:r>
      <w:r w:rsidR="00184AEF">
        <w:rPr>
          <w:rFonts w:cstheme="minorHAnsi"/>
        </w:rPr>
        <w:t>overheids</w:t>
      </w:r>
      <w:r w:rsidRPr="00376010">
        <w:rPr>
          <w:rFonts w:cstheme="minorHAnsi"/>
        </w:rPr>
        <w:t>contract eenzijdig en</w:t>
      </w:r>
      <w:r w:rsidR="00184AEF">
        <w:rPr>
          <w:rFonts w:cstheme="minorHAnsi"/>
        </w:rPr>
        <w:t xml:space="preserve"> stilzwijgend</w:t>
      </w:r>
      <w:r w:rsidRPr="00376010">
        <w:rPr>
          <w:rFonts w:cstheme="minorHAnsi"/>
        </w:rPr>
        <w:t xml:space="preserve"> had beëindigd op grond van artikel 1794 oud BW door in december 2020 het masterplan aan A. toe te wijzen, en dat W. &amp; Co recht heeft op vergoeding van uitgaven en gederfde winst</w:t>
      </w:r>
      <w:r w:rsidR="00184AEF">
        <w:rPr>
          <w:rFonts w:cstheme="minorHAnsi"/>
        </w:rPr>
        <w:t>. D</w:t>
      </w:r>
      <w:r w:rsidRPr="00376010">
        <w:rPr>
          <w:rFonts w:cstheme="minorHAnsi"/>
        </w:rPr>
        <w:t>e stad tekende cassatieberoep aan</w:t>
      </w:r>
      <w:r w:rsidR="00184AEF">
        <w:rPr>
          <w:rFonts w:cstheme="minorHAnsi"/>
        </w:rPr>
        <w:t>.</w:t>
      </w:r>
    </w:p>
    <w:p w14:paraId="37CA07B0" w14:textId="24ED446D" w:rsidR="00376010" w:rsidRPr="00376010" w:rsidRDefault="00184AEF" w:rsidP="00376010">
      <w:pPr>
        <w:ind w:right="-567"/>
        <w:rPr>
          <w:rFonts w:cstheme="minorHAnsi"/>
          <w:b/>
          <w:bCs/>
        </w:rPr>
      </w:pPr>
      <w:r>
        <w:rPr>
          <w:rFonts w:cstheme="minorHAnsi"/>
          <w:b/>
          <w:bCs/>
        </w:rPr>
        <w:t>E</w:t>
      </w:r>
      <w:r w:rsidR="00376010" w:rsidRPr="00376010">
        <w:rPr>
          <w:rFonts w:cstheme="minorHAnsi"/>
          <w:b/>
          <w:bCs/>
        </w:rPr>
        <w:t xml:space="preserve">enzijdige beëindiging (art. 1794 oud BW) en </w:t>
      </w:r>
      <w:r>
        <w:rPr>
          <w:rFonts w:cstheme="minorHAnsi"/>
          <w:b/>
          <w:bCs/>
        </w:rPr>
        <w:t xml:space="preserve">stilzwijgende </w:t>
      </w:r>
      <w:r w:rsidR="00376010" w:rsidRPr="00376010">
        <w:rPr>
          <w:rFonts w:cstheme="minorHAnsi"/>
          <w:b/>
          <w:bCs/>
        </w:rPr>
        <w:t xml:space="preserve"> opzeg</w:t>
      </w:r>
    </w:p>
    <w:p w14:paraId="1AF0979E" w14:textId="77777777" w:rsidR="00184AEF" w:rsidRDefault="00376010" w:rsidP="00376010">
      <w:pPr>
        <w:ind w:right="-567"/>
        <w:rPr>
          <w:rFonts w:cstheme="minorHAnsi"/>
        </w:rPr>
      </w:pPr>
      <w:r w:rsidRPr="00376010">
        <w:rPr>
          <w:rFonts w:cstheme="minorHAnsi"/>
        </w:rPr>
        <w:t>Het Hof van Cassatie herhaalt zijn vaste rechtspraak over artikel 1794: de opdrachtgever kan een forfaitaire aanneming eenzijdig beëindigen, mits vergoeding van alle kosten, werken en winstderving</w:t>
      </w:r>
      <w:r w:rsidR="00184AEF">
        <w:rPr>
          <w:rFonts w:cstheme="minorHAnsi"/>
        </w:rPr>
        <w:t xml:space="preserve">. </w:t>
      </w:r>
      <w:r w:rsidR="00184AEF">
        <w:rPr>
          <w:rFonts w:cstheme="minorHAnsi"/>
        </w:rPr>
        <w:br/>
        <w:t>D</w:t>
      </w:r>
      <w:r w:rsidRPr="00376010">
        <w:rPr>
          <w:rFonts w:cstheme="minorHAnsi"/>
        </w:rPr>
        <w:t>e rechter beoordeelt in feite of er een eenzijdige beëindiging is, maar hij mag feiten niet een draagwijdte geven die er niet uit kan worden afgeleid. De beëindiging kan uitdrukkelijk of stilzwijgend zijn, maar een stilzwijgende beëindiging kan enkel worden afgeleid uit gedragingen van de opdrachtgever die een duidelijke, ondubbelzinnige wilsuiting tot beëindiging vormen en niet voor een andere interpretatie vatbaar zijn.</w:t>
      </w:r>
    </w:p>
    <w:p w14:paraId="1AAAF684" w14:textId="1596DA1D" w:rsidR="00376010" w:rsidRPr="00376010" w:rsidRDefault="00376010" w:rsidP="00376010">
      <w:pPr>
        <w:ind w:right="-567"/>
        <w:rPr>
          <w:rFonts w:cstheme="minorHAnsi"/>
        </w:rPr>
      </w:pPr>
      <w:r w:rsidRPr="00376010">
        <w:rPr>
          <w:rFonts w:cstheme="minorHAnsi"/>
        </w:rPr>
        <w:t xml:space="preserve">In het arrest wordt erop gewezen dat het hof van beroep uitvoerig de objecten, perimeters en doelstellingen van beide markten (promotiecontract 2008 en masterplan 2020) vergelijkt: het promotiecontract omvatte reeds de globale stedelijke herontwikkeling en </w:t>
      </w:r>
      <w:proofErr w:type="spellStart"/>
      <w:r w:rsidRPr="00376010">
        <w:rPr>
          <w:rFonts w:cstheme="minorHAnsi"/>
        </w:rPr>
        <w:t>dynamisering</w:t>
      </w:r>
      <w:proofErr w:type="spellEnd"/>
      <w:r w:rsidRPr="00376010">
        <w:rPr>
          <w:rFonts w:cstheme="minorHAnsi"/>
        </w:rPr>
        <w:t xml:space="preserve"> van de site </w:t>
      </w:r>
      <w:proofErr w:type="spellStart"/>
      <w:r w:rsidRPr="00376010">
        <w:rPr>
          <w:rFonts w:cstheme="minorHAnsi"/>
        </w:rPr>
        <w:t>Boch</w:t>
      </w:r>
      <w:proofErr w:type="spellEnd"/>
      <w:r w:rsidRPr="00376010">
        <w:rPr>
          <w:rFonts w:cstheme="minorHAnsi"/>
        </w:rPr>
        <w:t xml:space="preserve"> (inclusief functies, </w:t>
      </w:r>
      <w:proofErr w:type="spellStart"/>
      <w:r w:rsidRPr="00376010">
        <w:rPr>
          <w:rFonts w:cstheme="minorHAnsi"/>
        </w:rPr>
        <w:t>mixiteit</w:t>
      </w:r>
      <w:proofErr w:type="spellEnd"/>
      <w:r w:rsidRPr="00376010">
        <w:rPr>
          <w:rFonts w:cstheme="minorHAnsi"/>
        </w:rPr>
        <w:t>, kwaliteitsvolle architectuur, enz.), en het masterplan van A. heeft dezelfde doelstelling en dekt (zij het in ruimer kader) hetzelfde kerngebied. Het hof stelt vast dat de redactie van de bijzondere bestekken en de motivering van de gemeenteraadsbeslissing over het masterplan wijzen op opvolging (“</w:t>
      </w:r>
      <w:proofErr w:type="spellStart"/>
      <w:r w:rsidRPr="00376010">
        <w:rPr>
          <w:rFonts w:cstheme="minorHAnsi"/>
        </w:rPr>
        <w:t>poursuivre</w:t>
      </w:r>
      <w:proofErr w:type="spellEnd"/>
      <w:r w:rsidRPr="00376010">
        <w:rPr>
          <w:rFonts w:cstheme="minorHAnsi"/>
        </w:rPr>
        <w:t xml:space="preserve"> la </w:t>
      </w:r>
      <w:proofErr w:type="spellStart"/>
      <w:r w:rsidRPr="00376010">
        <w:rPr>
          <w:rFonts w:cstheme="minorHAnsi"/>
        </w:rPr>
        <w:t>reconversion</w:t>
      </w:r>
      <w:proofErr w:type="spellEnd"/>
      <w:r w:rsidRPr="00376010">
        <w:rPr>
          <w:rFonts w:cstheme="minorHAnsi"/>
        </w:rPr>
        <w:t xml:space="preserve">...”, “fait suite à la non mise en </w:t>
      </w:r>
      <w:proofErr w:type="spellStart"/>
      <w:r w:rsidRPr="00376010">
        <w:rPr>
          <w:rFonts w:cstheme="minorHAnsi"/>
        </w:rPr>
        <w:t>œuvre</w:t>
      </w:r>
      <w:proofErr w:type="spellEnd"/>
      <w:r w:rsidRPr="00376010">
        <w:rPr>
          <w:rFonts w:cstheme="minorHAnsi"/>
        </w:rPr>
        <w:t xml:space="preserve"> du </w:t>
      </w:r>
      <w:proofErr w:type="spellStart"/>
      <w:r w:rsidRPr="00376010">
        <w:rPr>
          <w:rFonts w:cstheme="minorHAnsi"/>
        </w:rPr>
        <w:t>projet</w:t>
      </w:r>
      <w:proofErr w:type="spellEnd"/>
      <w:r w:rsidRPr="00376010">
        <w:rPr>
          <w:rFonts w:cstheme="minorHAnsi"/>
        </w:rPr>
        <w:t>...”) en dat W. &amp; Co zelf niet betwist dat het masterplan de facto het oorspronkelijk project vervangt.​</w:t>
      </w:r>
    </w:p>
    <w:p w14:paraId="2BBFF32B" w14:textId="1FADE818" w:rsidR="00376010" w:rsidRPr="00376010" w:rsidRDefault="00376010" w:rsidP="00376010">
      <w:pPr>
        <w:ind w:right="-567"/>
        <w:rPr>
          <w:rFonts w:cstheme="minorHAnsi"/>
        </w:rPr>
      </w:pPr>
      <w:r w:rsidRPr="00376010">
        <w:rPr>
          <w:rFonts w:cstheme="minorHAnsi"/>
        </w:rPr>
        <w:t>Op basis van die vaststellingen oordeelt het Hof van Cassatie dat het hof van beroep er terecht van kon uitgaan dat de toewijzing van het masterplan aan A. in december 2020, terwijl het promotiecontract met W. &amp; Co nog liep, een ondubbelzinnige gedraging is waaruit een stilzwijgende maar zekere wil van de stad blijkt om aan het contract einde te maken. Het argument dat de stad nog vergaderingen hield en op 19 januari 2021 de voortzetting van de uitvoering bevestigde, vereist volgens het Hof bijkomende feitelijke verificaties (o.m. analyse van correspondentie) die haar beoordelingsbevoegdheid te buiten gaan; dit onderdeel van het middel wordt daarom onontvankelijk verklaard. Het Hof verwerpt ook de grief dat het hof van beroep de datum had moeten vaststellen waarop W. &amp; Co kennis kreeg van de toewijzing aan A.: uit de stukken blijkt niet dat de stad dit in hoger beroep als specifieke rechtsgrond (met betrekking tot de inwerkingtreding van de beëindiging) aanvoerde, zodat het hof niet gehouden was daarover uitdrukkelijk te oordelen.]​</w:t>
      </w:r>
    </w:p>
    <w:p w14:paraId="0DD4C5DE" w14:textId="77777777" w:rsidR="00184AEF" w:rsidRDefault="00376010" w:rsidP="00967520">
      <w:pPr>
        <w:ind w:right="-567"/>
        <w:rPr>
          <w:rFonts w:cstheme="minorHAnsi"/>
        </w:rPr>
      </w:pPr>
      <w:r w:rsidRPr="00376010">
        <w:rPr>
          <w:rFonts w:cstheme="minorHAnsi"/>
        </w:rPr>
        <w:t xml:space="preserve">Het Hof van Cassatie verwerpt het cassatieberoep volledig. </w:t>
      </w:r>
    </w:p>
    <w:p w14:paraId="4D39DB7C" w14:textId="348DEB27" w:rsidR="00184AEF" w:rsidRDefault="00184AEF" w:rsidP="00967520">
      <w:pPr>
        <w:ind w:right="-567"/>
        <w:rPr>
          <w:rFonts w:cstheme="minorHAnsi"/>
        </w:rPr>
      </w:pPr>
      <w:r>
        <w:rPr>
          <w:rFonts w:cstheme="minorHAnsi"/>
        </w:rPr>
        <w:t xml:space="preserve">Lees het </w:t>
      </w:r>
      <w:hyperlink r:id="rId8" w:history="1">
        <w:r>
          <w:rPr>
            <w:rStyle w:val="Hyperlink"/>
            <w:rFonts w:cstheme="minorHAnsi"/>
          </w:rPr>
          <w:t xml:space="preserve">arrest </w:t>
        </w:r>
      </w:hyperlink>
    </w:p>
    <w:p w14:paraId="42C83DD1" w14:textId="5BA111EF"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0"/>
    <w:bookmarkEnd w:id="1"/>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FC01" w14:textId="77777777" w:rsidR="009B21C6" w:rsidRDefault="009B21C6" w:rsidP="00C4373D">
      <w:pPr>
        <w:spacing w:after="0" w:line="240" w:lineRule="auto"/>
      </w:pPr>
      <w:r>
        <w:separator/>
      </w:r>
    </w:p>
  </w:endnote>
  <w:endnote w:type="continuationSeparator" w:id="0">
    <w:p w14:paraId="4CB5BDF0" w14:textId="77777777" w:rsidR="009B21C6" w:rsidRDefault="009B21C6"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3C80" w14:textId="77777777" w:rsidR="009B21C6" w:rsidRDefault="009B21C6" w:rsidP="00C4373D">
      <w:pPr>
        <w:spacing w:after="0" w:line="240" w:lineRule="auto"/>
      </w:pPr>
      <w:r>
        <w:separator/>
      </w:r>
    </w:p>
  </w:footnote>
  <w:footnote w:type="continuationSeparator" w:id="0">
    <w:p w14:paraId="7AF5E6B4" w14:textId="77777777" w:rsidR="009B21C6" w:rsidRDefault="009B21C6"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1A6A92"/>
    <w:multiLevelType w:val="multilevel"/>
    <w:tmpl w:val="6B5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73927BE3"/>
    <w:multiLevelType w:val="multilevel"/>
    <w:tmpl w:val="2C90F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2"/>
  </w:num>
  <w:num w:numId="13" w16cid:durableId="1242981590">
    <w:abstractNumId w:val="25"/>
  </w:num>
  <w:num w:numId="14" w16cid:durableId="489247868">
    <w:abstractNumId w:val="30"/>
  </w:num>
  <w:num w:numId="15" w16cid:durableId="1876037715">
    <w:abstractNumId w:val="46"/>
  </w:num>
  <w:num w:numId="16" w16cid:durableId="1374497907">
    <w:abstractNumId w:val="50"/>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7"/>
  </w:num>
  <w:num w:numId="24" w16cid:durableId="304354091">
    <w:abstractNumId w:val="49"/>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40"/>
  </w:num>
  <w:num w:numId="34" w16cid:durableId="581061592">
    <w:abstractNumId w:val="48"/>
  </w:num>
  <w:num w:numId="35" w16cid:durableId="320429449">
    <w:abstractNumId w:val="39"/>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3"/>
  </w:num>
  <w:num w:numId="45" w16cid:durableId="333846113">
    <w:abstractNumId w:val="24"/>
  </w:num>
  <w:num w:numId="46" w16cid:durableId="1352535775">
    <w:abstractNumId w:val="21"/>
  </w:num>
  <w:num w:numId="47" w16cid:durableId="2115054309">
    <w:abstractNumId w:val="44"/>
  </w:num>
  <w:num w:numId="48" w16cid:durableId="50152864">
    <w:abstractNumId w:val="10"/>
  </w:num>
  <w:num w:numId="49" w16cid:durableId="358775554">
    <w:abstractNumId w:val="41"/>
  </w:num>
  <w:num w:numId="50" w16cid:durableId="1447968914">
    <w:abstractNumId w:val="38"/>
  </w:num>
  <w:num w:numId="51" w16cid:durableId="156737235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4AEF"/>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010"/>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B21C6"/>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83862"/>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35B3"/>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06.1F.2/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2985</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2026-02-20T16:57:00Z</dcterms:created>
  <dcterms:modified xsi:type="dcterms:W3CDTF">2026-02-20T17:30:00Z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