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99BC" w14:textId="199CA97E" w:rsidR="00DE7FF5" w:rsidRPr="00DE7FF5" w:rsidRDefault="007E0933" w:rsidP="007E0933">
      <w:pPr>
        <w:ind w:right="-567"/>
        <w:rPr>
          <w:rFonts w:cstheme="minorHAnsi"/>
          <w:i/>
          <w:i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Faillissement en fraude. Bewijslast: </w:t>
      </w:r>
      <w:r w:rsidRPr="007E0933">
        <w:rPr>
          <w:rFonts w:ascii="Calibri" w:eastAsia="Times New Roman" w:hAnsi="Calibri" w:cs="Calibri"/>
          <w:b/>
          <w:bCs/>
          <w:color w:val="000000"/>
          <w:lang w:eastAsia="nl-BE"/>
        </w:rPr>
        <w:t xml:space="preserve">rechter </w:t>
      </w:r>
      <w:r>
        <w:rPr>
          <w:rFonts w:ascii="Calibri" w:eastAsia="Times New Roman" w:hAnsi="Calibri" w:cs="Calibri"/>
          <w:b/>
          <w:bCs/>
          <w:color w:val="000000"/>
          <w:lang w:eastAsia="nl-BE"/>
        </w:rPr>
        <w:t xml:space="preserve">mag </w:t>
      </w:r>
      <w:r w:rsidRPr="007E0933">
        <w:rPr>
          <w:rFonts w:ascii="Calibri" w:eastAsia="Times New Roman" w:hAnsi="Calibri" w:cs="Calibri"/>
          <w:b/>
          <w:bCs/>
          <w:color w:val="000000"/>
          <w:lang w:eastAsia="nl-BE"/>
        </w:rPr>
        <w:t>geloof hecht</w:t>
      </w:r>
      <w:r>
        <w:rPr>
          <w:rFonts w:ascii="Calibri" w:eastAsia="Times New Roman" w:hAnsi="Calibri" w:cs="Calibri"/>
          <w:b/>
          <w:bCs/>
          <w:color w:val="000000"/>
          <w:lang w:eastAsia="nl-BE"/>
        </w:rPr>
        <w:t>en</w:t>
      </w:r>
      <w:r w:rsidRPr="007E0933">
        <w:rPr>
          <w:rFonts w:ascii="Calibri" w:eastAsia="Times New Roman" w:hAnsi="Calibri" w:cs="Calibri"/>
          <w:b/>
          <w:bCs/>
          <w:color w:val="000000"/>
          <w:lang w:eastAsia="nl-BE"/>
        </w:rPr>
        <w:t xml:space="preserve"> aan bepaalde verklaringen </w:t>
      </w:r>
      <w:r>
        <w:rPr>
          <w:rFonts w:ascii="Calibri" w:eastAsia="Times New Roman" w:hAnsi="Calibri" w:cs="Calibri"/>
          <w:b/>
          <w:bCs/>
          <w:color w:val="000000"/>
          <w:lang w:eastAsia="nl-BE"/>
        </w:rPr>
        <w:t xml:space="preserve">van </w:t>
      </w:r>
      <w:r w:rsidR="00BE7E71">
        <w:rPr>
          <w:rFonts w:ascii="Calibri" w:eastAsia="Times New Roman" w:hAnsi="Calibri" w:cs="Calibri"/>
          <w:b/>
          <w:bCs/>
          <w:color w:val="000000"/>
          <w:lang w:eastAsia="nl-BE"/>
        </w:rPr>
        <w:t xml:space="preserve">een getuige </w:t>
      </w:r>
      <w:r w:rsidRPr="007E0933">
        <w:rPr>
          <w:rFonts w:ascii="Calibri" w:eastAsia="Times New Roman" w:hAnsi="Calibri" w:cs="Calibri"/>
          <w:b/>
          <w:bCs/>
          <w:color w:val="000000"/>
          <w:lang w:eastAsia="nl-BE"/>
        </w:rPr>
        <w:t xml:space="preserve">en niet aan andere verklaringen van </w:t>
      </w:r>
      <w:r>
        <w:rPr>
          <w:rFonts w:ascii="Calibri" w:eastAsia="Times New Roman" w:hAnsi="Calibri" w:cs="Calibri"/>
          <w:b/>
          <w:bCs/>
          <w:color w:val="000000"/>
          <w:lang w:eastAsia="nl-BE"/>
        </w:rPr>
        <w:t>dezelfde</w:t>
      </w:r>
      <w:r w:rsidRPr="007E0933">
        <w:rPr>
          <w:rFonts w:ascii="Calibri" w:eastAsia="Times New Roman" w:hAnsi="Calibri" w:cs="Calibri"/>
          <w:b/>
          <w:bCs/>
          <w:color w:val="000000"/>
          <w:lang w:eastAsia="nl-BE"/>
        </w:rPr>
        <w:t xml:space="preserve"> getuige</w:t>
      </w:r>
      <w:r>
        <w:rPr>
          <w:rFonts w:ascii="Calibri" w:eastAsia="Times New Roman" w:hAnsi="Calibri" w:cs="Calibri"/>
          <w:b/>
          <w:bCs/>
          <w:color w:val="000000"/>
          <w:lang w:eastAsia="nl-BE"/>
        </w:rPr>
        <w:t>.</w:t>
      </w:r>
      <w:r w:rsidR="00376010">
        <w:rPr>
          <w:rFonts w:ascii="Calibri" w:eastAsia="Times New Roman" w:hAnsi="Calibri" w:cs="Calibri"/>
          <w:b/>
          <w:bCs/>
          <w:color w:val="000000"/>
          <w:lang w:eastAsia="nl-BE"/>
        </w:rPr>
        <w:t xml:space="preserve"> </w:t>
      </w:r>
      <w:proofErr w:type="spellStart"/>
      <w:r w:rsidR="001E0EE5">
        <w:rPr>
          <w:rFonts w:ascii="Calibri" w:eastAsia="Times New Roman" w:hAnsi="Calibri" w:cs="Calibri"/>
          <w:b/>
          <w:bCs/>
          <w:color w:val="000000"/>
          <w:lang w:eastAsia="nl-BE"/>
        </w:rPr>
        <w:t>Cass</w:t>
      </w:r>
      <w:proofErr w:type="spellEnd"/>
      <w:r w:rsidR="001E0EE5">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17</w:t>
      </w:r>
      <w:r w:rsidR="00376010">
        <w:rPr>
          <w:rFonts w:ascii="Calibri" w:eastAsia="Times New Roman" w:hAnsi="Calibri" w:cs="Calibri"/>
          <w:b/>
          <w:bCs/>
          <w:color w:val="000000"/>
          <w:lang w:eastAsia="nl-BE"/>
        </w:rPr>
        <w:t xml:space="preserve"> februari</w:t>
      </w:r>
      <w:r w:rsidR="001E0EE5">
        <w:rPr>
          <w:rFonts w:ascii="Calibri" w:eastAsia="Times New Roman" w:hAnsi="Calibri" w:cs="Calibri"/>
          <w:b/>
          <w:bCs/>
          <w:color w:val="000000"/>
          <w:lang w:eastAsia="nl-BE"/>
        </w:rPr>
        <w:t xml:space="preserve"> </w:t>
      </w:r>
      <w:r w:rsidR="003D6884">
        <w:rPr>
          <w:rFonts w:ascii="Calibri" w:eastAsia="Times New Roman" w:hAnsi="Calibri" w:cs="Calibri"/>
          <w:b/>
          <w:bCs/>
          <w:color w:val="000000"/>
          <w:lang w:eastAsia="nl-BE"/>
        </w:rPr>
        <w:t>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r w:rsidR="00612E57">
        <w:rPr>
          <w:rFonts w:ascii="Times New Roman" w:eastAsia="Times New Roman" w:hAnsi="Times New Roman" w:cs="Times New Roman"/>
          <w:sz w:val="24"/>
          <w:szCs w:val="24"/>
          <w:lang w:eastAsia="nl-BE"/>
        </w:rPr>
        <w:br/>
      </w:r>
      <w:r w:rsidR="00BB4DC4">
        <w:rPr>
          <w:rFonts w:cstheme="minorHAnsi"/>
          <w:b/>
          <w:bCs/>
        </w:rPr>
        <w:br/>
      </w:r>
      <w:r w:rsidR="00DE7FF5" w:rsidRPr="00DE7FF5">
        <w:rPr>
          <w:rFonts w:cstheme="minorHAnsi"/>
          <w:b/>
          <w:bCs/>
        </w:rPr>
        <w:t xml:space="preserve">De </w:t>
      </w:r>
      <w:r w:rsidR="00DE7FF5" w:rsidRPr="00DE7FF5">
        <w:rPr>
          <w:rFonts w:cstheme="minorHAnsi"/>
          <w:b/>
          <w:bCs/>
        </w:rPr>
        <w:t>cassatieberoepen zijn gericht tegen het arrest van het hof van beroep te Brussel, correctionele kamer, van 6 februari 2025</w:t>
      </w:r>
      <w:r w:rsidR="00DE7FF5" w:rsidRPr="00DE7FF5">
        <w:rPr>
          <w:rFonts w:cstheme="minorHAnsi"/>
          <w:b/>
          <w:bCs/>
        </w:rPr>
        <w:br/>
      </w:r>
      <w:r w:rsidR="00DE7FF5">
        <w:rPr>
          <w:rFonts w:cstheme="minorHAnsi"/>
        </w:rPr>
        <w:br/>
        <w:t>(eigen selectie inzake 1 van de 6 middelen)</w:t>
      </w:r>
      <w:r w:rsidR="00DE7FF5">
        <w:rPr>
          <w:rFonts w:cstheme="minorHAnsi"/>
        </w:rPr>
        <w:br/>
      </w:r>
      <w:r w:rsidR="00DE7FF5">
        <w:rPr>
          <w:rFonts w:cstheme="minorHAnsi"/>
          <w:i/>
          <w:iCs/>
        </w:rPr>
        <w:t>‘</w:t>
      </w:r>
      <w:r w:rsidR="00DE7FF5" w:rsidRPr="00DE7FF5">
        <w:rPr>
          <w:rFonts w:cstheme="minorHAnsi"/>
          <w:i/>
          <w:iCs/>
        </w:rPr>
        <w:t>Het middel voert schending aan van artikel 6.1 EVRM, artikel 149 Grondwet en de artikelen 45, 53, 60, 61, 73, 73bis, 73quinquies en 79 Btw-wetboek, alsook miskenning van de algemene rechtsbeginselen houdende de eerbiediging van het recht van verdediging en houdende de bewijslast in strafzaken</w:t>
      </w:r>
      <w:r w:rsidR="00DE7FF5" w:rsidRPr="00DE7FF5">
        <w:rPr>
          <w:rFonts w:cstheme="minorHAnsi"/>
          <w:i/>
          <w:iCs/>
        </w:rPr>
        <w:t>.</w:t>
      </w:r>
      <w:r w:rsidR="00DE7FF5" w:rsidRPr="00DE7FF5">
        <w:rPr>
          <w:rFonts w:cstheme="minorHAnsi"/>
          <w:i/>
          <w:iCs/>
        </w:rPr>
        <w:br/>
      </w:r>
      <w:r w:rsidR="00DE7FF5" w:rsidRPr="00DE7FF5">
        <w:rPr>
          <w:rFonts w:cstheme="minorHAnsi"/>
          <w:i/>
          <w:iCs/>
        </w:rPr>
        <w:br/>
        <w:t>H</w:t>
      </w:r>
      <w:r w:rsidR="00DE7FF5" w:rsidRPr="00DE7FF5">
        <w:rPr>
          <w:rFonts w:cstheme="minorHAnsi"/>
          <w:i/>
          <w:iCs/>
        </w:rPr>
        <w:t>oewel de eisers hebben gewezen op de manifeste onbetrouwbaarheid van A.T., hebben de appelrechters uit zijn verklaring afgeleid dat de facturatie van de door hem bestuurde vennootschappen fictief was, ook al heeft hij niet verklaard dat hij de valse facturen aan de eisers heeft bezorgd</w:t>
      </w:r>
      <w:r w:rsidR="00DE7FF5" w:rsidRPr="00DE7FF5">
        <w:rPr>
          <w:rFonts w:cstheme="minorHAnsi"/>
          <w:i/>
          <w:iCs/>
        </w:rPr>
        <w:t>.</w:t>
      </w:r>
      <w:r w:rsidR="00DE7FF5" w:rsidRPr="00DE7FF5">
        <w:rPr>
          <w:rFonts w:cstheme="minorHAnsi"/>
          <w:i/>
          <w:iCs/>
        </w:rPr>
        <w:br/>
      </w:r>
      <w:r w:rsidR="00DE7FF5" w:rsidRPr="00DE7FF5">
        <w:rPr>
          <w:rFonts w:cstheme="minorHAnsi"/>
          <w:i/>
          <w:iCs/>
        </w:rPr>
        <w:br/>
        <w:t>H</w:t>
      </w:r>
      <w:r w:rsidR="00DE7FF5" w:rsidRPr="00DE7FF5">
        <w:rPr>
          <w:rFonts w:cstheme="minorHAnsi"/>
          <w:i/>
          <w:iCs/>
        </w:rPr>
        <w:t>et arrest hecht geloof aan bepaalde verklaringen van A.T. en geen geloof aan andere verklaringen</w:t>
      </w:r>
      <w:r w:rsidR="00DE7FF5" w:rsidRPr="00DE7FF5">
        <w:rPr>
          <w:rFonts w:cstheme="minorHAnsi"/>
          <w:i/>
          <w:iCs/>
        </w:rPr>
        <w:t>.</w:t>
      </w:r>
      <w:r w:rsidR="00DE7FF5" w:rsidRPr="00DE7FF5">
        <w:rPr>
          <w:rFonts w:cstheme="minorHAnsi"/>
          <w:i/>
          <w:iCs/>
        </w:rPr>
        <w:br/>
      </w:r>
      <w:r w:rsidR="00DE7FF5" w:rsidRPr="00DE7FF5">
        <w:rPr>
          <w:rFonts w:cstheme="minorHAnsi"/>
          <w:i/>
          <w:iCs/>
        </w:rPr>
        <w:br/>
        <w:t>De</w:t>
      </w:r>
      <w:r w:rsidR="00DE7FF5" w:rsidRPr="00DE7FF5">
        <w:rPr>
          <w:rFonts w:cstheme="minorHAnsi"/>
          <w:i/>
          <w:iCs/>
        </w:rPr>
        <w:t xml:space="preserve"> appelrechters hebben zonder enig positief bewijselement geoordeeld dat de facturen van de onderaannemers en de btw niet werden betaald, terwijl die betalingen nochtans konden blijken uit de door de eisers bijgebrachte kasboeken</w:t>
      </w:r>
      <w:r w:rsidR="00DE7FF5" w:rsidRPr="00DE7FF5">
        <w:rPr>
          <w:rFonts w:cstheme="minorHAnsi"/>
          <w:i/>
          <w:iCs/>
        </w:rPr>
        <w:t>.</w:t>
      </w:r>
    </w:p>
    <w:p w14:paraId="59517184" w14:textId="77777777" w:rsidR="00DE7FF5" w:rsidRPr="00DE7FF5" w:rsidRDefault="00DE7FF5" w:rsidP="007E0933">
      <w:pPr>
        <w:ind w:right="-567"/>
        <w:rPr>
          <w:rFonts w:cstheme="minorHAnsi"/>
          <w:i/>
          <w:iCs/>
        </w:rPr>
      </w:pPr>
      <w:r w:rsidRPr="00DE7FF5">
        <w:rPr>
          <w:rFonts w:cstheme="minorHAnsi"/>
          <w:i/>
          <w:iCs/>
        </w:rPr>
        <w:t>D</w:t>
      </w:r>
      <w:r w:rsidRPr="00DE7FF5">
        <w:rPr>
          <w:rFonts w:cstheme="minorHAnsi"/>
          <w:i/>
          <w:iCs/>
        </w:rPr>
        <w:t>e schuldigverklaring van de eisers aan de feiten omschreven onder de telastleggingen B en H is niet alleen gebrekkig, maar ook tegenstrijdig en onwettig</w:t>
      </w:r>
      <w:r w:rsidRPr="00DE7FF5">
        <w:rPr>
          <w:rFonts w:cstheme="minorHAnsi"/>
          <w:i/>
          <w:iCs/>
        </w:rPr>
        <w:t xml:space="preserve">. </w:t>
      </w:r>
      <w:r w:rsidRPr="00DE7FF5">
        <w:rPr>
          <w:rFonts w:cstheme="minorHAnsi"/>
          <w:i/>
          <w:iCs/>
        </w:rPr>
        <w:br/>
      </w:r>
      <w:r w:rsidRPr="00DE7FF5">
        <w:rPr>
          <w:rFonts w:cstheme="minorHAnsi"/>
          <w:i/>
          <w:iCs/>
        </w:rPr>
        <w:br/>
        <w:t>D</w:t>
      </w:r>
      <w:r w:rsidRPr="00DE7FF5">
        <w:rPr>
          <w:rFonts w:cstheme="minorHAnsi"/>
          <w:i/>
          <w:iCs/>
        </w:rPr>
        <w:t>e appelrechters oordelen enerzijds dat de facturen volgens A.T. fictief waren, maar nuanceren dit anderzijds ook door te oordelen dat de valsheid enkel erin zou bestaan dat de btw op de facturen niet zou zijn betaald</w:t>
      </w:r>
      <w:r w:rsidRPr="00DE7FF5">
        <w:rPr>
          <w:rFonts w:cstheme="minorHAnsi"/>
          <w:i/>
          <w:iCs/>
        </w:rPr>
        <w:t>.</w:t>
      </w:r>
    </w:p>
    <w:p w14:paraId="74FE4B79" w14:textId="508273EA" w:rsidR="00DE7FF5" w:rsidRDefault="00DE7FF5" w:rsidP="007E0933">
      <w:pPr>
        <w:ind w:right="-567"/>
        <w:rPr>
          <w:rFonts w:cstheme="minorHAnsi"/>
        </w:rPr>
      </w:pPr>
      <w:r w:rsidRPr="00DE7FF5">
        <w:rPr>
          <w:rFonts w:cstheme="minorHAnsi"/>
          <w:i/>
          <w:iCs/>
        </w:rPr>
        <w:t>H</w:t>
      </w:r>
      <w:r w:rsidRPr="00DE7FF5">
        <w:rPr>
          <w:rFonts w:cstheme="minorHAnsi"/>
          <w:i/>
          <w:iCs/>
        </w:rPr>
        <w:t>et arrest merkt op dat het bedrag van veel contante betaalde facturen hoger was dan het toegelaten maximum van 3.000,00 euro, terwijl in de betreffende periode dit maximum 5.000,00 euro bedroeg.</w:t>
      </w:r>
      <w:r>
        <w:rPr>
          <w:rFonts w:cstheme="minorHAnsi"/>
          <w:i/>
          <w:iCs/>
        </w:rPr>
        <w:t>’</w:t>
      </w:r>
      <w:r w:rsidRPr="00DE7FF5">
        <w:rPr>
          <w:rFonts w:cstheme="minorHAnsi"/>
          <w:i/>
          <w:iCs/>
        </w:rPr>
        <w:br/>
      </w:r>
      <w:r>
        <w:rPr>
          <w:rFonts w:cstheme="minorHAnsi"/>
        </w:rPr>
        <w:br/>
      </w:r>
      <w:r w:rsidRPr="00DE7FF5">
        <w:rPr>
          <w:rFonts w:cstheme="minorHAnsi"/>
          <w:b/>
          <w:bCs/>
        </w:rPr>
        <w:t>De visie van het Hof van Cassatie inzake dit middel</w:t>
      </w:r>
      <w:r w:rsidRPr="00DE7FF5">
        <w:rPr>
          <w:rFonts w:cstheme="minorHAnsi"/>
          <w:b/>
          <w:bCs/>
        </w:rPr>
        <w:br/>
      </w:r>
      <w:r>
        <w:rPr>
          <w:rFonts w:cstheme="minorHAnsi"/>
        </w:rPr>
        <w:br/>
      </w:r>
      <w:r w:rsidRPr="00DE7FF5">
        <w:rPr>
          <w:rFonts w:cstheme="minorHAnsi"/>
        </w:rPr>
        <w:t>Geen enkele bepaling verzet zich ertegen dat de rechter geloof hecht aan bepaalde verklaringen van een getuige en niet aan andere verklaringen van dezelfde getuige.</w:t>
      </w:r>
      <w:r w:rsidRPr="00DE7FF5">
        <w:rPr>
          <w:rFonts w:cstheme="minorHAnsi"/>
        </w:rPr>
        <w:br/>
        <w:t>In zoverre het middel uitgaat van een andere rechtsopvatting, faalt het naar recht.</w:t>
      </w:r>
      <w:r>
        <w:rPr>
          <w:rFonts w:cstheme="minorHAnsi"/>
        </w:rPr>
        <w:br/>
      </w:r>
      <w:r>
        <w:rPr>
          <w:rFonts w:cstheme="minorHAnsi"/>
        </w:rPr>
        <w:br/>
      </w:r>
      <w:hyperlink r:id="rId8" w:history="1">
        <w:r>
          <w:rPr>
            <w:rStyle w:val="Hyperlink"/>
            <w:rFonts w:cstheme="minorHAnsi"/>
          </w:rPr>
          <w:t xml:space="preserve">Lees hier het volledige arrest </w:t>
        </w:r>
      </w:hyperlink>
      <w:r w:rsidRPr="00DE7FF5">
        <w:rPr>
          <w:rFonts w:cstheme="minorHAnsi"/>
        </w:rPr>
        <w:t xml:space="preserve"> </w:t>
      </w:r>
    </w:p>
    <w:p w14:paraId="203A2D4E" w14:textId="77777777" w:rsidR="00DE7FF5" w:rsidRDefault="00DE7FF5" w:rsidP="007E0933">
      <w:pPr>
        <w:ind w:right="-567"/>
        <w:rPr>
          <w:rFonts w:cstheme="minorHAnsi"/>
        </w:rPr>
      </w:pPr>
    </w:p>
    <w:p w14:paraId="28BCD5AC" w14:textId="77777777" w:rsidR="00967520" w:rsidRDefault="00967520" w:rsidP="00967520">
      <w:pPr>
        <w:ind w:right="-567"/>
        <w:rPr>
          <w:rFonts w:cstheme="minorHAnsi"/>
        </w:rPr>
      </w:pPr>
    </w:p>
    <w:bookmarkEnd w:id="2"/>
    <w:bookmarkEnd w:id="3"/>
    <w:p w14:paraId="41F15607" w14:textId="16F847E1" w:rsidR="0097221C" w:rsidRPr="0053563E" w:rsidRDefault="0097221C" w:rsidP="0097221C">
      <w:pPr>
        <w:ind w:right="-567"/>
        <w:rPr>
          <w:rFonts w:cstheme="minorHAnsi"/>
        </w:rPr>
      </w:pPr>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E5BF" w14:textId="77777777" w:rsidR="00786472" w:rsidRDefault="00786472" w:rsidP="00C4373D">
      <w:pPr>
        <w:spacing w:after="0" w:line="240" w:lineRule="auto"/>
      </w:pPr>
      <w:r>
        <w:separator/>
      </w:r>
    </w:p>
  </w:endnote>
  <w:endnote w:type="continuationSeparator" w:id="0">
    <w:p w14:paraId="1C1341B3" w14:textId="77777777" w:rsidR="00786472" w:rsidRDefault="00786472"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A99B" w14:textId="77777777" w:rsidR="00786472" w:rsidRDefault="00786472" w:rsidP="00C4373D">
      <w:pPr>
        <w:spacing w:after="0" w:line="240" w:lineRule="auto"/>
      </w:pPr>
      <w:r>
        <w:separator/>
      </w:r>
    </w:p>
  </w:footnote>
  <w:footnote w:type="continuationSeparator" w:id="0">
    <w:p w14:paraId="27A9FC28" w14:textId="77777777" w:rsidR="00786472" w:rsidRDefault="00786472"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643E6"/>
    <w:multiLevelType w:val="hybridMultilevel"/>
    <w:tmpl w:val="632C2C1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CE12A5"/>
    <w:multiLevelType w:val="hybridMultilevel"/>
    <w:tmpl w:val="CC64971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4"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1A6A92"/>
    <w:multiLevelType w:val="multilevel"/>
    <w:tmpl w:val="6B5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5"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7" w15:restartNumberingAfterBreak="0">
    <w:nsid w:val="73927BE3"/>
    <w:multiLevelType w:val="multilevel"/>
    <w:tmpl w:val="2C90F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9"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4"/>
  </w:num>
  <w:num w:numId="2" w16cid:durableId="1601796514">
    <w:abstractNumId w:val="6"/>
  </w:num>
  <w:num w:numId="3" w16cid:durableId="440689025">
    <w:abstractNumId w:val="15"/>
  </w:num>
  <w:num w:numId="4" w16cid:durableId="1901482466">
    <w:abstractNumId w:val="20"/>
  </w:num>
  <w:num w:numId="5" w16cid:durableId="2131043963">
    <w:abstractNumId w:val="33"/>
  </w:num>
  <w:num w:numId="6" w16cid:durableId="2141193137">
    <w:abstractNumId w:val="2"/>
  </w:num>
  <w:num w:numId="7" w16cid:durableId="1513370548">
    <w:abstractNumId w:val="36"/>
  </w:num>
  <w:num w:numId="8" w16cid:durableId="309135586">
    <w:abstractNumId w:val="12"/>
  </w:num>
  <w:num w:numId="9" w16cid:durableId="1667711385">
    <w:abstractNumId w:val="18"/>
  </w:num>
  <w:num w:numId="10" w16cid:durableId="65692917">
    <w:abstractNumId w:val="5"/>
  </w:num>
  <w:num w:numId="11" w16cid:durableId="1627737823">
    <w:abstractNumId w:val="23"/>
  </w:num>
  <w:num w:numId="12" w16cid:durableId="675577769">
    <w:abstractNumId w:val="44"/>
  </w:num>
  <w:num w:numId="13" w16cid:durableId="1242981590">
    <w:abstractNumId w:val="26"/>
  </w:num>
  <w:num w:numId="14" w16cid:durableId="489247868">
    <w:abstractNumId w:val="32"/>
  </w:num>
  <w:num w:numId="15" w16cid:durableId="1876037715">
    <w:abstractNumId w:val="48"/>
  </w:num>
  <w:num w:numId="16" w16cid:durableId="1374497907">
    <w:abstractNumId w:val="52"/>
  </w:num>
  <w:num w:numId="17" w16cid:durableId="169950374">
    <w:abstractNumId w:val="27"/>
  </w:num>
  <w:num w:numId="18" w16cid:durableId="1039237021">
    <w:abstractNumId w:val="28"/>
  </w:num>
  <w:num w:numId="19" w16cid:durableId="737214983">
    <w:abstractNumId w:val="34"/>
  </w:num>
  <w:num w:numId="20" w16cid:durableId="1602377082">
    <w:abstractNumId w:val="39"/>
  </w:num>
  <w:num w:numId="21" w16cid:durableId="110172665">
    <w:abstractNumId w:val="37"/>
  </w:num>
  <w:num w:numId="22" w16cid:durableId="1058238571">
    <w:abstractNumId w:val="31"/>
  </w:num>
  <w:num w:numId="23" w16cid:durableId="718822067">
    <w:abstractNumId w:val="49"/>
  </w:num>
  <w:num w:numId="24" w16cid:durableId="304354091">
    <w:abstractNumId w:val="51"/>
  </w:num>
  <w:num w:numId="25" w16cid:durableId="971404024">
    <w:abstractNumId w:val="9"/>
  </w:num>
  <w:num w:numId="26" w16cid:durableId="1630160327">
    <w:abstractNumId w:val="13"/>
  </w:num>
  <w:num w:numId="27" w16cid:durableId="1073284371">
    <w:abstractNumId w:val="38"/>
  </w:num>
  <w:num w:numId="28" w16cid:durableId="1285769254">
    <w:abstractNumId w:val="29"/>
  </w:num>
  <w:num w:numId="29" w16cid:durableId="204803538">
    <w:abstractNumId w:val="16"/>
  </w:num>
  <w:num w:numId="30" w16cid:durableId="828402830">
    <w:abstractNumId w:val="21"/>
  </w:num>
  <w:num w:numId="31" w16cid:durableId="1150054238">
    <w:abstractNumId w:val="8"/>
  </w:num>
  <w:num w:numId="32" w16cid:durableId="309335814">
    <w:abstractNumId w:val="19"/>
  </w:num>
  <w:num w:numId="33" w16cid:durableId="361635184">
    <w:abstractNumId w:val="42"/>
  </w:num>
  <w:num w:numId="34" w16cid:durableId="581061592">
    <w:abstractNumId w:val="50"/>
  </w:num>
  <w:num w:numId="35" w16cid:durableId="320429449">
    <w:abstractNumId w:val="41"/>
  </w:num>
  <w:num w:numId="36" w16cid:durableId="858933622">
    <w:abstractNumId w:val="7"/>
  </w:num>
  <w:num w:numId="37" w16cid:durableId="1306857178">
    <w:abstractNumId w:val="4"/>
  </w:num>
  <w:num w:numId="38" w16cid:durableId="1035034478">
    <w:abstractNumId w:val="0"/>
  </w:num>
  <w:num w:numId="39" w16cid:durableId="2086300692">
    <w:abstractNumId w:val="35"/>
  </w:num>
  <w:num w:numId="40" w16cid:durableId="2104374950">
    <w:abstractNumId w:val="3"/>
  </w:num>
  <w:num w:numId="41" w16cid:durableId="237793568">
    <w:abstractNumId w:val="10"/>
  </w:num>
  <w:num w:numId="42" w16cid:durableId="1088425167">
    <w:abstractNumId w:val="17"/>
  </w:num>
  <w:num w:numId="43" w16cid:durableId="1806388838">
    <w:abstractNumId w:val="14"/>
  </w:num>
  <w:num w:numId="44" w16cid:durableId="1676760872">
    <w:abstractNumId w:val="45"/>
  </w:num>
  <w:num w:numId="45" w16cid:durableId="333846113">
    <w:abstractNumId w:val="25"/>
  </w:num>
  <w:num w:numId="46" w16cid:durableId="1352535775">
    <w:abstractNumId w:val="22"/>
  </w:num>
  <w:num w:numId="47" w16cid:durableId="2115054309">
    <w:abstractNumId w:val="46"/>
  </w:num>
  <w:num w:numId="48" w16cid:durableId="50152864">
    <w:abstractNumId w:val="11"/>
  </w:num>
  <w:num w:numId="49" w16cid:durableId="358775554">
    <w:abstractNumId w:val="43"/>
  </w:num>
  <w:num w:numId="50" w16cid:durableId="1447968914">
    <w:abstractNumId w:val="40"/>
  </w:num>
  <w:num w:numId="51" w16cid:durableId="1567372353">
    <w:abstractNumId w:val="47"/>
  </w:num>
  <w:num w:numId="52" w16cid:durableId="504440333">
    <w:abstractNumId w:val="1"/>
  </w:num>
  <w:num w:numId="53" w16cid:durableId="17008596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4AEF"/>
    <w:rsid w:val="001855D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501A3"/>
    <w:rsid w:val="00360198"/>
    <w:rsid w:val="00366EF9"/>
    <w:rsid w:val="0037359D"/>
    <w:rsid w:val="00376010"/>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1684"/>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04A5"/>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48A2"/>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5920"/>
    <w:rsid w:val="00786472"/>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0933"/>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798"/>
    <w:rsid w:val="00975C86"/>
    <w:rsid w:val="00977B69"/>
    <w:rsid w:val="00977EB6"/>
    <w:rsid w:val="00985121"/>
    <w:rsid w:val="0098774F"/>
    <w:rsid w:val="00991006"/>
    <w:rsid w:val="00994092"/>
    <w:rsid w:val="00994521"/>
    <w:rsid w:val="00995276"/>
    <w:rsid w:val="00996779"/>
    <w:rsid w:val="00996E8B"/>
    <w:rsid w:val="009A2707"/>
    <w:rsid w:val="009A2C39"/>
    <w:rsid w:val="009B21C6"/>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E7E71"/>
    <w:rsid w:val="00BF0442"/>
    <w:rsid w:val="00BF0727"/>
    <w:rsid w:val="00C014C8"/>
    <w:rsid w:val="00C016E2"/>
    <w:rsid w:val="00C06FE3"/>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83862"/>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70CF"/>
    <w:rsid w:val="00D81954"/>
    <w:rsid w:val="00D83F3B"/>
    <w:rsid w:val="00D84D2F"/>
    <w:rsid w:val="00D92E8C"/>
    <w:rsid w:val="00D93070"/>
    <w:rsid w:val="00D94C67"/>
    <w:rsid w:val="00DA4D5A"/>
    <w:rsid w:val="00DA7812"/>
    <w:rsid w:val="00DB0FD3"/>
    <w:rsid w:val="00DB1C19"/>
    <w:rsid w:val="00DC496E"/>
    <w:rsid w:val="00DE32B4"/>
    <w:rsid w:val="00DE5F04"/>
    <w:rsid w:val="00DE7FF5"/>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35B3"/>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217.2N.13/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1939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2026-02-23T12:56:00Z</dcterms:created>
  <dcterms:modified xsi:type="dcterms:W3CDTF">2026-02-23T12:56:00Z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