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4755" w14:textId="25EB98F4" w:rsidR="009E0A38" w:rsidRPr="009E0A38" w:rsidRDefault="000E57EA" w:rsidP="009E0A38">
      <w:pPr>
        <w:ind w:right="-567"/>
        <w:rPr>
          <w:rFonts w:cstheme="minorHAnsi"/>
        </w:rPr>
      </w:pPr>
      <w:bookmarkStart w:id="0" w:name="_Hlk150935450"/>
      <w:bookmarkStart w:id="1" w:name="_Hlk495302387"/>
      <w:bookmarkStart w:id="2" w:name="_Hlk201852803"/>
      <w:bookmarkStart w:id="3" w:name="_Hlk218154789"/>
      <w:r>
        <w:rPr>
          <w:rFonts w:ascii="Calibri" w:eastAsia="Times New Roman" w:hAnsi="Calibri" w:cs="Calibri"/>
          <w:b/>
          <w:bCs/>
          <w:color w:val="000000"/>
          <w:lang w:eastAsia="nl-BE"/>
        </w:rPr>
        <w:t>O</w:t>
      </w:r>
      <w:r w:rsidR="0088203C">
        <w:rPr>
          <w:rFonts w:ascii="Calibri" w:eastAsia="Times New Roman" w:hAnsi="Calibri" w:cs="Calibri"/>
          <w:b/>
          <w:bCs/>
          <w:color w:val="000000"/>
          <w:lang w:eastAsia="nl-BE"/>
        </w:rPr>
        <w:t xml:space="preserve">verheidsopdracht. Als Vlaams Gewest </w:t>
      </w:r>
      <w:r w:rsidR="009E0A38">
        <w:rPr>
          <w:rFonts w:ascii="Calibri" w:eastAsia="Times New Roman" w:hAnsi="Calibri" w:cs="Calibri"/>
          <w:b/>
          <w:bCs/>
          <w:color w:val="000000"/>
          <w:lang w:eastAsia="nl-BE"/>
        </w:rPr>
        <w:t xml:space="preserve">en </w:t>
      </w:r>
      <w:r w:rsidR="0088203C">
        <w:rPr>
          <w:rFonts w:ascii="Calibri" w:eastAsia="Times New Roman" w:hAnsi="Calibri" w:cs="Calibri"/>
          <w:b/>
          <w:bCs/>
          <w:color w:val="000000"/>
          <w:lang w:eastAsia="nl-BE"/>
        </w:rPr>
        <w:t xml:space="preserve">Belgische Staat </w:t>
      </w:r>
      <w:r w:rsidR="009E0A38">
        <w:rPr>
          <w:rFonts w:ascii="Calibri" w:eastAsia="Times New Roman" w:hAnsi="Calibri" w:cs="Calibri"/>
          <w:b/>
          <w:bCs/>
          <w:color w:val="000000"/>
          <w:lang w:eastAsia="nl-BE"/>
        </w:rPr>
        <w:t xml:space="preserve">tegen elkaar </w:t>
      </w:r>
      <w:r w:rsidR="0088203C">
        <w:rPr>
          <w:rFonts w:ascii="Calibri" w:eastAsia="Times New Roman" w:hAnsi="Calibri" w:cs="Calibri"/>
          <w:b/>
          <w:bCs/>
          <w:color w:val="000000"/>
          <w:lang w:eastAsia="nl-BE"/>
        </w:rPr>
        <w:t xml:space="preserve">procederen </w:t>
      </w:r>
      <w:r w:rsidR="009E0A38">
        <w:rPr>
          <w:rFonts w:ascii="Calibri" w:eastAsia="Times New Roman" w:hAnsi="Calibri" w:cs="Calibri"/>
          <w:b/>
          <w:bCs/>
          <w:color w:val="000000"/>
          <w:lang w:eastAsia="nl-BE"/>
        </w:rPr>
        <w:t xml:space="preserve">over de vraag of er voor een concessie </w:t>
      </w:r>
      <w:r w:rsidR="009E0A38" w:rsidRPr="009E0A38">
        <w:rPr>
          <w:rFonts w:ascii="Calibri" w:eastAsia="Times New Roman" w:hAnsi="Calibri" w:cs="Calibri"/>
          <w:b/>
          <w:bCs/>
          <w:color w:val="000000"/>
          <w:lang w:eastAsia="nl-BE"/>
        </w:rPr>
        <w:t>van dienstenzones langs de autosnelweg</w:t>
      </w:r>
      <w:r w:rsidR="009E0A38">
        <w:rPr>
          <w:rFonts w:ascii="Calibri" w:eastAsia="Times New Roman" w:hAnsi="Calibri" w:cs="Calibri"/>
          <w:b/>
          <w:bCs/>
          <w:color w:val="000000"/>
          <w:lang w:eastAsia="nl-BE"/>
        </w:rPr>
        <w:t xml:space="preserve"> wel of geen roerende voorheffing verschuldigd is</w:t>
      </w:r>
      <w:r>
        <w:rPr>
          <w:rFonts w:ascii="Calibri" w:eastAsia="Times New Roman" w:hAnsi="Calibri" w:cs="Calibri"/>
          <w:b/>
          <w:bCs/>
          <w:color w:val="000000"/>
          <w:lang w:eastAsia="nl-BE"/>
        </w:rPr>
        <w:t>.</w:t>
      </w:r>
      <w:r w:rsidRPr="000E57EA">
        <w:rPr>
          <w:rFonts w:ascii="Calibri" w:eastAsia="Times New Roman" w:hAnsi="Calibri" w:cs="Calibri"/>
          <w:b/>
          <w:bCs/>
          <w:color w:val="000000"/>
          <w:lang w:eastAsia="nl-BE"/>
        </w:rPr>
        <w:t> </w:t>
      </w:r>
      <w:proofErr w:type="spellStart"/>
      <w:r w:rsidR="001E0EE5">
        <w:rPr>
          <w:rFonts w:ascii="Calibri" w:eastAsia="Times New Roman" w:hAnsi="Calibri" w:cs="Calibri"/>
          <w:b/>
          <w:bCs/>
          <w:color w:val="000000"/>
          <w:lang w:eastAsia="nl-BE"/>
        </w:rPr>
        <w:t>Cass</w:t>
      </w:r>
      <w:proofErr w:type="spellEnd"/>
      <w:r w:rsidR="001E0EE5">
        <w:rPr>
          <w:rFonts w:ascii="Calibri" w:eastAsia="Times New Roman" w:hAnsi="Calibri" w:cs="Calibri"/>
          <w:b/>
          <w:bCs/>
          <w:color w:val="000000"/>
          <w:lang w:eastAsia="nl-BE"/>
        </w:rPr>
        <w:t xml:space="preserve">. </w:t>
      </w:r>
      <w:r w:rsidR="0088203C">
        <w:rPr>
          <w:rFonts w:ascii="Calibri" w:eastAsia="Times New Roman" w:hAnsi="Calibri" w:cs="Calibri"/>
          <w:b/>
          <w:bCs/>
          <w:color w:val="000000"/>
          <w:lang w:eastAsia="nl-BE"/>
        </w:rPr>
        <w:t>1</w:t>
      </w:r>
      <w:r>
        <w:rPr>
          <w:rFonts w:ascii="Calibri" w:eastAsia="Times New Roman" w:hAnsi="Calibri" w:cs="Calibri"/>
          <w:b/>
          <w:bCs/>
          <w:color w:val="000000"/>
          <w:lang w:eastAsia="nl-BE"/>
        </w:rPr>
        <w:t>2</w:t>
      </w:r>
      <w:r w:rsidR="00A00763">
        <w:rPr>
          <w:rFonts w:ascii="Calibri" w:eastAsia="Times New Roman" w:hAnsi="Calibri" w:cs="Calibri"/>
          <w:b/>
          <w:bCs/>
          <w:color w:val="000000"/>
          <w:lang w:eastAsia="nl-BE"/>
        </w:rPr>
        <w:t xml:space="preserve">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2"/>
      <w:r w:rsidR="001A7631">
        <w:rPr>
          <w:rFonts w:ascii="Calibri" w:eastAsia="Times New Roman" w:hAnsi="Calibri" w:cs="Calibri"/>
          <w:b/>
          <w:bCs/>
          <w:color w:val="000000"/>
          <w:lang w:eastAsia="nl-BE"/>
        </w:rPr>
        <w:t xml:space="preserve"> </w:t>
      </w:r>
      <w:r w:rsidR="00B446D3">
        <w:rPr>
          <w:rFonts w:cstheme="minorHAnsi"/>
          <w:b/>
          <w:bCs/>
        </w:rPr>
        <w:t>(Recht op zaterdag)</w:t>
      </w:r>
      <w:bookmarkEnd w:id="3"/>
      <w:r w:rsidR="0053563E" w:rsidRPr="0053563E">
        <w:rPr>
          <w:rFonts w:ascii="Times New Roman" w:eastAsia="Times New Roman" w:hAnsi="Times New Roman" w:cs="Times New Roman"/>
          <w:sz w:val="24"/>
          <w:szCs w:val="24"/>
          <w:lang w:eastAsia="nl-BE"/>
        </w:rPr>
        <w:t xml:space="preserve"> </w:t>
      </w:r>
      <w:r w:rsidR="00F24E0E">
        <w:rPr>
          <w:rFonts w:ascii="Times New Roman" w:eastAsia="Times New Roman" w:hAnsi="Times New Roman" w:cs="Times New Roman"/>
          <w:sz w:val="24"/>
          <w:szCs w:val="24"/>
          <w:lang w:eastAsia="nl-BE"/>
        </w:rPr>
        <w:br/>
      </w:r>
      <w:r w:rsidR="00BB4DC4">
        <w:rPr>
          <w:rFonts w:cstheme="minorHAnsi"/>
          <w:b/>
          <w:bCs/>
        </w:rPr>
        <w:br/>
      </w:r>
      <w:r w:rsidR="009E0A38" w:rsidRPr="009E0A38">
        <w:rPr>
          <w:rFonts w:cstheme="minorHAnsi"/>
        </w:rPr>
        <w:t>Het gaat om een fiscaal geschil tussen het Vlaams Gewest en de Belgische Staat (FOD Financiën) over de kwalificatie van de concessievergoedingen die Kuwait Petroleum betaalt voor twee autosnelwegparkings te Ranst (E313/E34).</w:t>
      </w:r>
    </w:p>
    <w:p w14:paraId="5B2A6BE8" w14:textId="276E8C72" w:rsidR="009E0A38" w:rsidRPr="009E0A38" w:rsidRDefault="009E0A38" w:rsidP="009E0A38">
      <w:pPr>
        <w:ind w:right="-567"/>
        <w:rPr>
          <w:rFonts w:cstheme="minorHAnsi"/>
          <w:b/>
          <w:bCs/>
        </w:rPr>
      </w:pPr>
      <w:r>
        <w:rPr>
          <w:rFonts w:cstheme="minorHAnsi"/>
          <w:b/>
          <w:bCs/>
        </w:rPr>
        <w:t>De f</w:t>
      </w:r>
      <w:r w:rsidRPr="009E0A38">
        <w:rPr>
          <w:rFonts w:cstheme="minorHAnsi"/>
          <w:b/>
          <w:bCs/>
        </w:rPr>
        <w:t>eiten</w:t>
      </w:r>
    </w:p>
    <w:p w14:paraId="057A8FEE" w14:textId="3DF80C4A" w:rsidR="009E0A38" w:rsidRPr="009E0A38" w:rsidRDefault="009E0A38" w:rsidP="009E0A38">
      <w:pPr>
        <w:numPr>
          <w:ilvl w:val="0"/>
          <w:numId w:val="50"/>
        </w:numPr>
        <w:ind w:right="-567"/>
        <w:rPr>
          <w:rFonts w:cstheme="minorHAnsi"/>
        </w:rPr>
      </w:pPr>
      <w:r w:rsidRPr="009E0A38">
        <w:rPr>
          <w:rFonts w:cstheme="minorHAnsi"/>
        </w:rPr>
        <w:t>Het Vlaams Gewest sloot met Kuwait Petroleum een concessieovereenkomst voor openbare werken voor de herinrichting en uitbating van twee dienstenzones langs de E313/E34 te Ranst (tankstation, parking, sanitaire voorzieningen, restaurant, shop, enz.).​</w:t>
      </w:r>
    </w:p>
    <w:p w14:paraId="49F05F79" w14:textId="18035BBF" w:rsidR="009E0A38" w:rsidRPr="009E0A38" w:rsidRDefault="009E0A38" w:rsidP="009E0A38">
      <w:pPr>
        <w:numPr>
          <w:ilvl w:val="0"/>
          <w:numId w:val="50"/>
        </w:numPr>
        <w:ind w:right="-567"/>
        <w:rPr>
          <w:rFonts w:cstheme="minorHAnsi"/>
        </w:rPr>
      </w:pPr>
      <w:r w:rsidRPr="009E0A38">
        <w:rPr>
          <w:rFonts w:cstheme="minorHAnsi"/>
        </w:rPr>
        <w:t>Kuwait Petroleum betaalt aan het Vlaams Gewest een jaarlijkse vaste retributie van 150.000 euro (geïndexeerd) plus variabele retributies berekend als een percentage van de omzet uit brandstoffen, restaurant en andere producten.​</w:t>
      </w:r>
    </w:p>
    <w:p w14:paraId="258B7FC6" w14:textId="76C2D923" w:rsidR="009E0A38" w:rsidRPr="009E0A38" w:rsidRDefault="009E0A38" w:rsidP="009E0A38">
      <w:pPr>
        <w:numPr>
          <w:ilvl w:val="0"/>
          <w:numId w:val="50"/>
        </w:numPr>
        <w:ind w:right="-567"/>
        <w:rPr>
          <w:rFonts w:cstheme="minorHAnsi"/>
        </w:rPr>
      </w:pPr>
      <w:r w:rsidRPr="009E0A38">
        <w:rPr>
          <w:rFonts w:cstheme="minorHAnsi"/>
        </w:rPr>
        <w:t>Voor de aanslagjaren 2012 en 2013 hield Kuwait Petroleum op die vergoedingen roerende voorheffing in en stortte die door aan de Schatkist; het ging o.m. om een “variabele cijns” van ca. 2,27 miljoen euro in 2012 en 0,46 miljoen euro in 2013, en een beperkte of geen “vaste cijns”.</w:t>
      </w:r>
    </w:p>
    <w:p w14:paraId="73B18819" w14:textId="5B6F14B3" w:rsidR="009E0A38" w:rsidRPr="009E0A38" w:rsidRDefault="009E0A38" w:rsidP="009E0A38">
      <w:pPr>
        <w:numPr>
          <w:ilvl w:val="0"/>
          <w:numId w:val="50"/>
        </w:numPr>
        <w:ind w:right="-567"/>
        <w:rPr>
          <w:rFonts w:cstheme="minorHAnsi"/>
        </w:rPr>
      </w:pPr>
      <w:r w:rsidRPr="009E0A38">
        <w:rPr>
          <w:rFonts w:cstheme="minorHAnsi"/>
        </w:rPr>
        <w:t>Het Vlaams Gewest tekende bezwaar aan tegen de roerende voorheffing op de aan haar toekomende concessievergoedingen; de bezwaren werden in 2019 verworpen, waarna het Gewest naar de rechter stapte.​</w:t>
      </w:r>
    </w:p>
    <w:p w14:paraId="7CBF179F" w14:textId="7B613BA5" w:rsidR="009E0A38" w:rsidRPr="009E0A38" w:rsidRDefault="009E0A38" w:rsidP="009E0A38">
      <w:pPr>
        <w:numPr>
          <w:ilvl w:val="0"/>
          <w:numId w:val="50"/>
        </w:numPr>
        <w:ind w:right="-567"/>
        <w:rPr>
          <w:rFonts w:cstheme="minorHAnsi"/>
        </w:rPr>
      </w:pPr>
      <w:r w:rsidRPr="009E0A38">
        <w:rPr>
          <w:rFonts w:cstheme="minorHAnsi"/>
        </w:rPr>
        <w:t xml:space="preserve">De rechtbank van eerste aanleg Antwerpen gaf het Vlaams Gewest gelijk; het hof van beroep Antwerpen hervormde </w:t>
      </w:r>
      <w:r w:rsidR="00F24E0E">
        <w:rPr>
          <w:rFonts w:cstheme="minorHAnsi"/>
        </w:rPr>
        <w:t xml:space="preserve">op 28 november 2023 </w:t>
      </w:r>
      <w:r w:rsidRPr="009E0A38">
        <w:rPr>
          <w:rFonts w:cstheme="minorHAnsi"/>
        </w:rPr>
        <w:t>dat vonnis en oordeelde dat de vergoedingen wél roerende inkomsten zijn onder artikel 17, § 1, 3° WIB 92.​</w:t>
      </w:r>
    </w:p>
    <w:p w14:paraId="49FA285F" w14:textId="5BDA7BB2" w:rsidR="009E0A38" w:rsidRPr="009E0A38" w:rsidRDefault="009E0A38" w:rsidP="009E0A38">
      <w:pPr>
        <w:numPr>
          <w:ilvl w:val="0"/>
          <w:numId w:val="50"/>
        </w:numPr>
        <w:ind w:right="-567"/>
        <w:rPr>
          <w:rFonts w:cstheme="minorHAnsi"/>
        </w:rPr>
      </w:pPr>
      <w:r w:rsidRPr="009E0A38">
        <w:rPr>
          <w:rFonts w:cstheme="minorHAnsi"/>
        </w:rPr>
        <w:t>Het Vlaams Gewest stelde daarop cassatieberoep in tegen het arrest van het hof van beroep.​</w:t>
      </w:r>
    </w:p>
    <w:p w14:paraId="1CEB96DC" w14:textId="2801BDB5" w:rsidR="009E0A38" w:rsidRPr="009E0A38" w:rsidRDefault="009E0A38" w:rsidP="009E0A38">
      <w:pPr>
        <w:ind w:right="-567"/>
        <w:rPr>
          <w:rFonts w:cstheme="minorHAnsi"/>
          <w:b/>
          <w:bCs/>
        </w:rPr>
      </w:pPr>
      <w:r>
        <w:rPr>
          <w:rFonts w:cstheme="minorHAnsi"/>
          <w:b/>
          <w:bCs/>
        </w:rPr>
        <w:t>De fiscale discussie</w:t>
      </w:r>
    </w:p>
    <w:p w14:paraId="1507414D" w14:textId="0A1B6130" w:rsidR="009E0A38" w:rsidRPr="009E0A38" w:rsidRDefault="009E0A38" w:rsidP="009E0A38">
      <w:pPr>
        <w:numPr>
          <w:ilvl w:val="0"/>
          <w:numId w:val="51"/>
        </w:numPr>
        <w:ind w:right="-567"/>
        <w:rPr>
          <w:rFonts w:cstheme="minorHAnsi"/>
        </w:rPr>
      </w:pPr>
      <w:r w:rsidRPr="009E0A38">
        <w:rPr>
          <w:rFonts w:cstheme="minorHAnsi"/>
        </w:rPr>
        <w:t>Kernvraag: zijn de concessievergoedingen die het Vlaams Gewest ontvangt roerende inkomsten (concessie van een roerend recht tot exploitatie) of onroerende inkomsten (verbonden met werken op en gebruik van onroerende goederen van het openbaar domein)?​</w:t>
      </w:r>
    </w:p>
    <w:p w14:paraId="5260F679" w14:textId="5988C92E" w:rsidR="009E0A38" w:rsidRPr="009E0A38" w:rsidRDefault="009E0A38" w:rsidP="009E0A38">
      <w:pPr>
        <w:numPr>
          <w:ilvl w:val="0"/>
          <w:numId w:val="51"/>
        </w:numPr>
        <w:ind w:right="-567"/>
        <w:rPr>
          <w:rFonts w:cstheme="minorHAnsi"/>
        </w:rPr>
      </w:pPr>
      <w:r w:rsidRPr="009E0A38">
        <w:rPr>
          <w:rFonts w:cstheme="minorHAnsi"/>
        </w:rPr>
        <w:t>Het hof van beroep oordeelde dat de betalingen voortvloeien uit het recht om de op het openbaar domein opgerichte bouwwerken te exploiteren (een onlichamelijk roerend goed) en dat ze daarom belastbaar zijn als roerend inkomen volgens artikel 17, § 1, 3° WIB 92.​</w:t>
      </w:r>
    </w:p>
    <w:p w14:paraId="6CDC4F14" w14:textId="4FBA265D" w:rsidR="009E0A38" w:rsidRPr="009E0A38" w:rsidRDefault="009E0A38" w:rsidP="009E0A38">
      <w:pPr>
        <w:numPr>
          <w:ilvl w:val="0"/>
          <w:numId w:val="51"/>
        </w:numPr>
        <w:ind w:right="-851"/>
        <w:rPr>
          <w:rFonts w:cstheme="minorHAnsi"/>
        </w:rPr>
      </w:pPr>
      <w:r w:rsidRPr="009E0A38">
        <w:rPr>
          <w:rFonts w:cstheme="minorHAnsi"/>
        </w:rPr>
        <w:t>Het Vlaams Gewest voert in cassatie onder meer aan dat bij een concessie voor openbare werken het hoofdvoorwerp per definitie onroerende werken zijn, zodat de daarmee verbonden inkomsten een onroerend karakter hebben en onder artikel 7, § 1 WIB 92 zouden moeten vallen, en betwist dat hier sprake is van een “concessie van roerende goederen” in de zin van artikel 17, § 1, 3° WIB 92.​</w:t>
      </w:r>
    </w:p>
    <w:p w14:paraId="5AD2AB46" w14:textId="3159CD3E" w:rsidR="009E0A38" w:rsidRPr="009E0A38" w:rsidRDefault="009E0A38" w:rsidP="009E0A38">
      <w:pPr>
        <w:numPr>
          <w:ilvl w:val="0"/>
          <w:numId w:val="51"/>
        </w:numPr>
        <w:ind w:right="-567"/>
        <w:rPr>
          <w:rFonts w:cstheme="minorHAnsi"/>
        </w:rPr>
      </w:pPr>
      <w:r w:rsidRPr="009E0A38">
        <w:rPr>
          <w:rFonts w:cstheme="minorHAnsi"/>
        </w:rPr>
        <w:t>Het Hof van Cassatie verwerpt het cassatieberoep en bevestigt dus dat de concessievergoedingen in dit geval als roerend inkomen worden belast, omdat zij voortkomen uit het recht om de werken te exploiteren en niet uit de gebouwen zelf of de grond.​</w:t>
      </w:r>
    </w:p>
    <w:p w14:paraId="41F15607" w14:textId="743F0EE7" w:rsidR="0097221C" w:rsidRPr="0053563E" w:rsidRDefault="009E0A38" w:rsidP="0097221C">
      <w:pPr>
        <w:ind w:right="-567"/>
        <w:rPr>
          <w:rFonts w:cstheme="minorHAnsi"/>
        </w:rPr>
      </w:pPr>
      <w:hyperlink r:id="rId8" w:history="1">
        <w:r>
          <w:rPr>
            <w:rStyle w:val="Hyperlink"/>
            <w:rFonts w:cstheme="minorHAnsi"/>
          </w:rPr>
          <w:t xml:space="preserve">Lees hier het arrest </w:t>
        </w:r>
      </w:hyperlink>
      <w:bookmarkEnd w:id="0"/>
      <w:bookmarkEnd w:id="1"/>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CB44" w14:textId="77777777" w:rsidR="00981CB4" w:rsidRDefault="00981CB4" w:rsidP="00C4373D">
      <w:pPr>
        <w:spacing w:after="0" w:line="240" w:lineRule="auto"/>
      </w:pPr>
      <w:r>
        <w:separator/>
      </w:r>
    </w:p>
  </w:endnote>
  <w:endnote w:type="continuationSeparator" w:id="0">
    <w:p w14:paraId="78C97234" w14:textId="77777777" w:rsidR="00981CB4" w:rsidRDefault="00981CB4"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2BB1" w14:textId="77777777" w:rsidR="00981CB4" w:rsidRDefault="00981CB4" w:rsidP="00C4373D">
      <w:pPr>
        <w:spacing w:after="0" w:line="240" w:lineRule="auto"/>
      </w:pPr>
      <w:r>
        <w:separator/>
      </w:r>
    </w:p>
  </w:footnote>
  <w:footnote w:type="continuationSeparator" w:id="0">
    <w:p w14:paraId="59CDF9FE" w14:textId="77777777" w:rsidR="00981CB4" w:rsidRDefault="00981CB4"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5012E7F"/>
    <w:multiLevelType w:val="multilevel"/>
    <w:tmpl w:val="E3B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0777D"/>
    <w:multiLevelType w:val="multilevel"/>
    <w:tmpl w:val="B4CA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6"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7"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5"/>
  </w:num>
  <w:num w:numId="3" w16cid:durableId="440689025">
    <w:abstractNumId w:val="14"/>
  </w:num>
  <w:num w:numId="4" w16cid:durableId="1901482466">
    <w:abstractNumId w:val="19"/>
  </w:num>
  <w:num w:numId="5" w16cid:durableId="2131043963">
    <w:abstractNumId w:val="32"/>
  </w:num>
  <w:num w:numId="6" w16cid:durableId="2141193137">
    <w:abstractNumId w:val="1"/>
  </w:num>
  <w:num w:numId="7" w16cid:durableId="1513370548">
    <w:abstractNumId w:val="35"/>
  </w:num>
  <w:num w:numId="8" w16cid:durableId="309135586">
    <w:abstractNumId w:val="11"/>
  </w:num>
  <w:num w:numId="9" w16cid:durableId="1667711385">
    <w:abstractNumId w:val="17"/>
  </w:num>
  <w:num w:numId="10" w16cid:durableId="65692917">
    <w:abstractNumId w:val="4"/>
  </w:num>
  <w:num w:numId="11" w16cid:durableId="1627737823">
    <w:abstractNumId w:val="23"/>
  </w:num>
  <w:num w:numId="12" w16cid:durableId="675577769">
    <w:abstractNumId w:val="43"/>
  </w:num>
  <w:num w:numId="13" w16cid:durableId="1242981590">
    <w:abstractNumId w:val="26"/>
  </w:num>
  <w:num w:numId="14" w16cid:durableId="489247868">
    <w:abstractNumId w:val="31"/>
  </w:num>
  <w:num w:numId="15" w16cid:durableId="1876037715">
    <w:abstractNumId w:val="46"/>
  </w:num>
  <w:num w:numId="16" w16cid:durableId="1374497907">
    <w:abstractNumId w:val="50"/>
  </w:num>
  <w:num w:numId="17" w16cid:durableId="169950374">
    <w:abstractNumId w:val="27"/>
  </w:num>
  <w:num w:numId="18" w16cid:durableId="1039237021">
    <w:abstractNumId w:val="28"/>
  </w:num>
  <w:num w:numId="19" w16cid:durableId="737214983">
    <w:abstractNumId w:val="33"/>
  </w:num>
  <w:num w:numId="20" w16cid:durableId="1602377082">
    <w:abstractNumId w:val="38"/>
  </w:num>
  <w:num w:numId="21" w16cid:durableId="110172665">
    <w:abstractNumId w:val="36"/>
  </w:num>
  <w:num w:numId="22" w16cid:durableId="1058238571">
    <w:abstractNumId w:val="30"/>
  </w:num>
  <w:num w:numId="23" w16cid:durableId="718822067">
    <w:abstractNumId w:val="47"/>
  </w:num>
  <w:num w:numId="24" w16cid:durableId="304354091">
    <w:abstractNumId w:val="49"/>
  </w:num>
  <w:num w:numId="25" w16cid:durableId="971404024">
    <w:abstractNumId w:val="8"/>
  </w:num>
  <w:num w:numId="26" w16cid:durableId="1630160327">
    <w:abstractNumId w:val="12"/>
  </w:num>
  <w:num w:numId="27" w16cid:durableId="1073284371">
    <w:abstractNumId w:val="37"/>
  </w:num>
  <w:num w:numId="28" w16cid:durableId="1285769254">
    <w:abstractNumId w:val="29"/>
  </w:num>
  <w:num w:numId="29" w16cid:durableId="204803538">
    <w:abstractNumId w:val="15"/>
  </w:num>
  <w:num w:numId="30" w16cid:durableId="828402830">
    <w:abstractNumId w:val="21"/>
  </w:num>
  <w:num w:numId="31" w16cid:durableId="1150054238">
    <w:abstractNumId w:val="7"/>
  </w:num>
  <w:num w:numId="32" w16cid:durableId="309335814">
    <w:abstractNumId w:val="18"/>
  </w:num>
  <w:num w:numId="33" w16cid:durableId="361635184">
    <w:abstractNumId w:val="40"/>
  </w:num>
  <w:num w:numId="34" w16cid:durableId="581061592">
    <w:abstractNumId w:val="48"/>
  </w:num>
  <w:num w:numId="35" w16cid:durableId="320429449">
    <w:abstractNumId w:val="39"/>
  </w:num>
  <w:num w:numId="36" w16cid:durableId="858933622">
    <w:abstractNumId w:val="6"/>
  </w:num>
  <w:num w:numId="37" w16cid:durableId="1306857178">
    <w:abstractNumId w:val="3"/>
  </w:num>
  <w:num w:numId="38" w16cid:durableId="1035034478">
    <w:abstractNumId w:val="0"/>
  </w:num>
  <w:num w:numId="39" w16cid:durableId="2086300692">
    <w:abstractNumId w:val="34"/>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4"/>
  </w:num>
  <w:num w:numId="45" w16cid:durableId="333846113">
    <w:abstractNumId w:val="25"/>
  </w:num>
  <w:num w:numId="46" w16cid:durableId="1352535775">
    <w:abstractNumId w:val="22"/>
  </w:num>
  <w:num w:numId="47" w16cid:durableId="2115054309">
    <w:abstractNumId w:val="45"/>
  </w:num>
  <w:num w:numId="48" w16cid:durableId="50152864">
    <w:abstractNumId w:val="10"/>
  </w:num>
  <w:num w:numId="49" w16cid:durableId="358775554">
    <w:abstractNumId w:val="42"/>
  </w:num>
  <w:num w:numId="50" w16cid:durableId="726342588">
    <w:abstractNumId w:val="41"/>
  </w:num>
  <w:num w:numId="51" w16cid:durableId="21252214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51684"/>
    <w:rsid w:val="00453C3C"/>
    <w:rsid w:val="00455D2F"/>
    <w:rsid w:val="004649C1"/>
    <w:rsid w:val="00473A0F"/>
    <w:rsid w:val="00474ABF"/>
    <w:rsid w:val="004807CF"/>
    <w:rsid w:val="00483E23"/>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F4D"/>
    <w:rsid w:val="00A070E2"/>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917"/>
    <w:rsid w:val="00F17C3F"/>
    <w:rsid w:val="00F20054"/>
    <w:rsid w:val="00F22D54"/>
    <w:rsid w:val="00F22F62"/>
    <w:rsid w:val="00F24E0E"/>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12.1N.7/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469</Words>
  <Characters>2581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2026-02-27T17:23:00Z</dcterms:created>
  <dcterms:modified xsi:type="dcterms:W3CDTF">2026-02-27T17:23:00Z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