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065" w14:textId="27A57C98" w:rsidR="00453C3B" w:rsidRDefault="00453C3B" w:rsidP="00453C3B">
      <w:pPr>
        <w:ind w:right="-567"/>
        <w:rPr>
          <w:rFonts w:ascii="Times New Roman" w:eastAsia="Times New Roman" w:hAnsi="Times New Roman" w:cs="Times New Roman"/>
          <w:sz w:val="24"/>
          <w:szCs w:val="24"/>
          <w:lang w:eastAsia="nl-BE"/>
        </w:rPr>
      </w:pPr>
      <w:bookmarkStart w:id="0" w:name="_Hlk150935450"/>
      <w:bookmarkStart w:id="1" w:name="_Hlk495302387"/>
      <w:bookmarkStart w:id="2" w:name="_Hlk201852803"/>
      <w:bookmarkStart w:id="3" w:name="_Hlk218154789"/>
      <w:r>
        <w:rPr>
          <w:rFonts w:ascii="Calibri" w:eastAsia="Times New Roman" w:hAnsi="Calibri" w:cs="Calibri"/>
          <w:b/>
          <w:bCs/>
          <w:color w:val="000000"/>
          <w:lang w:eastAsia="nl-BE"/>
        </w:rPr>
        <w:t xml:space="preserve">Wetsvoorstel </w:t>
      </w:r>
      <w:r w:rsidRPr="00453C3B">
        <w:rPr>
          <w:rFonts w:ascii="Calibri" w:eastAsia="Times New Roman" w:hAnsi="Calibri" w:cs="Calibri"/>
          <w:b/>
          <w:bCs/>
          <w:color w:val="000000"/>
          <w:lang w:eastAsia="nl-BE"/>
        </w:rPr>
        <w:t>tot invoering van een jaarlijkse koopkrachtpremie</w:t>
      </w:r>
      <w:r>
        <w:rPr>
          <w:rFonts w:ascii="Calibri" w:eastAsia="Times New Roman" w:hAnsi="Calibri" w:cs="Calibri"/>
          <w:b/>
          <w:bCs/>
          <w:color w:val="000000"/>
          <w:lang w:eastAsia="nl-BE"/>
        </w:rPr>
        <w:t xml:space="preserve"> ingediend op 4 maart 2026 </w:t>
      </w:r>
      <w:r>
        <w:rPr>
          <w:rFonts w:ascii="Calibri" w:eastAsia="Times New Roman" w:hAnsi="Calibri" w:cs="Calibri"/>
          <w:b/>
          <w:bCs/>
          <w:color w:val="000000"/>
          <w:lang w:eastAsia="nl-BE"/>
        </w:rPr>
        <w:br/>
      </w:r>
      <w:r w:rsidR="004F15C9">
        <w:rPr>
          <w:rFonts w:cstheme="minorHAnsi"/>
          <w:b/>
          <w:bCs/>
        </w:rPr>
        <w:t>(Recht op zaterdag)</w:t>
      </w:r>
      <w:r w:rsidR="004F15C9" w:rsidRPr="0053563E">
        <w:rPr>
          <w:rFonts w:ascii="Times New Roman" w:eastAsia="Times New Roman" w:hAnsi="Times New Roman" w:cs="Times New Roman"/>
          <w:sz w:val="24"/>
          <w:szCs w:val="24"/>
          <w:lang w:eastAsia="nl-BE"/>
        </w:rPr>
        <w:t xml:space="preserve"> </w:t>
      </w:r>
    </w:p>
    <w:p w14:paraId="5986E900" w14:textId="088714DA" w:rsidR="00453C3B" w:rsidRPr="00453C3B" w:rsidRDefault="00453C3B" w:rsidP="00453C3B">
      <w:pPr>
        <w:ind w:right="-567"/>
        <w:rPr>
          <w:rFonts w:ascii="Calibri" w:eastAsia="Times New Roman" w:hAnsi="Calibri" w:cs="Calibri"/>
          <w:lang w:eastAsia="nl-BE"/>
        </w:rPr>
      </w:pPr>
      <w:r w:rsidRPr="00453C3B">
        <w:rPr>
          <w:rFonts w:ascii="Calibri" w:eastAsia="Times New Roman" w:hAnsi="Calibri" w:cs="Calibri"/>
          <w:lang w:eastAsia="nl-BE"/>
        </w:rPr>
        <w:t>De koopkrachtpremies van 2021 en 2023 voorzagen dat ondernemingen met goede resultaten een premie konden toekennen aan hun werknemers. Voor de komende jaren ontbreekt evenwel een wettelijke basis om dergelijke premies verder toe te kennen. Aangezien Belgische ondernemingen vandaag nog steeds uitzonderlijk goed presteren en hoge winstmarges realiseren, strekt dit wetsvoorstel ertoe een jaarlijkse koopkrachtpremie in te voeren tot en met 2031. Op die manier wordt verzekerd dat werknemers blijvend kunnen delen in de positieve resultaten van hun onderneming.</w:t>
      </w:r>
    </w:p>
    <w:p w14:paraId="4BDDEBE1" w14:textId="77777777" w:rsidR="00453C3B" w:rsidRPr="00453C3B" w:rsidRDefault="00453C3B" w:rsidP="00453C3B">
      <w:pPr>
        <w:ind w:right="-567"/>
        <w:rPr>
          <w:rFonts w:ascii="Calibri" w:eastAsia="Times New Roman" w:hAnsi="Calibri" w:cs="Calibri"/>
          <w:b/>
          <w:bCs/>
          <w:lang w:eastAsia="nl-BE"/>
        </w:rPr>
      </w:pPr>
      <w:r w:rsidRPr="00453C3B">
        <w:rPr>
          <w:rFonts w:ascii="Calibri" w:eastAsia="Times New Roman" w:hAnsi="Calibri" w:cs="Calibri"/>
          <w:b/>
          <w:bCs/>
          <w:lang w:eastAsia="nl-BE"/>
        </w:rPr>
        <w:t xml:space="preserve">Er worden </w:t>
      </w:r>
      <w:r w:rsidRPr="00453C3B">
        <w:rPr>
          <w:rFonts w:ascii="Calibri" w:eastAsia="Times New Roman" w:hAnsi="Calibri" w:cs="Calibri"/>
          <w:b/>
          <w:bCs/>
          <w:lang w:eastAsia="nl-BE"/>
        </w:rPr>
        <w:t xml:space="preserve">vijf belangrijke redenen </w:t>
      </w:r>
      <w:r w:rsidRPr="00453C3B">
        <w:rPr>
          <w:rFonts w:ascii="Calibri" w:eastAsia="Times New Roman" w:hAnsi="Calibri" w:cs="Calibri"/>
          <w:b/>
          <w:bCs/>
          <w:lang w:eastAsia="nl-BE"/>
        </w:rPr>
        <w:t xml:space="preserve">opgesomd </w:t>
      </w:r>
      <w:r w:rsidRPr="00453C3B">
        <w:rPr>
          <w:rFonts w:ascii="Calibri" w:eastAsia="Times New Roman" w:hAnsi="Calibri" w:cs="Calibri"/>
          <w:b/>
          <w:bCs/>
          <w:lang w:eastAsia="nl-BE"/>
        </w:rPr>
        <w:t>voor de invoering van een nieuwe koopkrachtpremie:</w:t>
      </w:r>
    </w:p>
    <w:p w14:paraId="360E54EF" w14:textId="5EDD284B" w:rsidR="00453C3B" w:rsidRPr="00453C3B" w:rsidRDefault="00453C3B" w:rsidP="00453C3B">
      <w:pPr>
        <w:pStyle w:val="Lijstalinea"/>
        <w:numPr>
          <w:ilvl w:val="0"/>
          <w:numId w:val="51"/>
        </w:numPr>
        <w:ind w:right="-567"/>
        <w:rPr>
          <w:rFonts w:ascii="Calibri" w:eastAsia="Times New Roman" w:hAnsi="Calibri" w:cs="Calibri"/>
          <w:lang w:eastAsia="nl-BE"/>
        </w:rPr>
      </w:pPr>
      <w:r w:rsidRPr="00453C3B">
        <w:rPr>
          <w:rFonts w:ascii="Calibri" w:eastAsia="Times New Roman" w:hAnsi="Calibri" w:cs="Calibri"/>
          <w:lang w:eastAsia="nl-BE"/>
        </w:rPr>
        <w:t>Een koopkrachtpremie zorgt ervoor dat werknemers ten volle kunnen deelnemen aan de hoge winsten van onze bedrijven</w:t>
      </w:r>
    </w:p>
    <w:p w14:paraId="3E905DC6" w14:textId="77777777" w:rsidR="00453C3B" w:rsidRPr="00453C3B" w:rsidRDefault="00453C3B" w:rsidP="00453C3B">
      <w:pPr>
        <w:pStyle w:val="Lijstalinea"/>
        <w:numPr>
          <w:ilvl w:val="0"/>
          <w:numId w:val="51"/>
        </w:numPr>
        <w:ind w:right="-567"/>
        <w:rPr>
          <w:rFonts w:cstheme="minorHAnsi"/>
        </w:rPr>
      </w:pPr>
      <w:r w:rsidRPr="00453C3B">
        <w:rPr>
          <w:rFonts w:ascii="Calibri" w:eastAsia="Times New Roman" w:hAnsi="Calibri" w:cs="Calibri"/>
          <w:lang w:eastAsia="nl-BE"/>
        </w:rPr>
        <w:t>De koopkrachtpremie tast de competitiviteit van onze bedrijven niet aan</w:t>
      </w:r>
    </w:p>
    <w:p w14:paraId="57A59EE6" w14:textId="77777777" w:rsidR="00453C3B" w:rsidRPr="00453C3B" w:rsidRDefault="00453C3B" w:rsidP="00453C3B">
      <w:pPr>
        <w:pStyle w:val="Lijstalinea"/>
        <w:numPr>
          <w:ilvl w:val="0"/>
          <w:numId w:val="51"/>
        </w:numPr>
        <w:ind w:right="-567"/>
        <w:rPr>
          <w:rFonts w:cstheme="minorHAnsi"/>
        </w:rPr>
      </w:pPr>
      <w:r w:rsidRPr="00453C3B">
        <w:rPr>
          <w:rFonts w:ascii="Calibri" w:eastAsia="Times New Roman" w:hAnsi="Calibri" w:cs="Calibri"/>
          <w:lang w:eastAsia="nl-BE"/>
        </w:rPr>
        <w:t>Ook vanuit de werkgevers is er een grote vraag naar een koopkrachtpremie</w:t>
      </w:r>
    </w:p>
    <w:p w14:paraId="1C378F59" w14:textId="77777777" w:rsidR="00453C3B" w:rsidRPr="00453C3B" w:rsidRDefault="00453C3B" w:rsidP="00453C3B">
      <w:pPr>
        <w:pStyle w:val="Lijstalinea"/>
        <w:numPr>
          <w:ilvl w:val="0"/>
          <w:numId w:val="51"/>
        </w:numPr>
        <w:ind w:right="-567"/>
        <w:rPr>
          <w:rFonts w:cstheme="minorHAnsi"/>
        </w:rPr>
      </w:pPr>
      <w:r w:rsidRPr="00453C3B">
        <w:rPr>
          <w:rFonts w:ascii="Calibri" w:eastAsia="Times New Roman" w:hAnsi="Calibri" w:cs="Calibri"/>
          <w:lang w:eastAsia="nl-BE"/>
        </w:rPr>
        <w:t xml:space="preserve">Een koopkrachtpremie kan </w:t>
      </w:r>
      <w:proofErr w:type="spellStart"/>
      <w:r w:rsidRPr="00453C3B">
        <w:rPr>
          <w:rFonts w:ascii="Calibri" w:eastAsia="Times New Roman" w:hAnsi="Calibri" w:cs="Calibri"/>
          <w:lang w:eastAsia="nl-BE"/>
        </w:rPr>
        <w:t>kraptes</w:t>
      </w:r>
      <w:proofErr w:type="spellEnd"/>
      <w:r w:rsidRPr="00453C3B">
        <w:rPr>
          <w:rFonts w:ascii="Calibri" w:eastAsia="Times New Roman" w:hAnsi="Calibri" w:cs="Calibri"/>
          <w:lang w:eastAsia="nl-BE"/>
        </w:rPr>
        <w:t xml:space="preserve"> op de arbeidsmarkt wegwerken bij goed presterende bedrijven</w:t>
      </w:r>
    </w:p>
    <w:p w14:paraId="49D5B18E" w14:textId="165128C6" w:rsidR="00453C3B" w:rsidRPr="00453C3B" w:rsidRDefault="00453C3B" w:rsidP="00453C3B">
      <w:pPr>
        <w:pStyle w:val="Lijstalinea"/>
        <w:numPr>
          <w:ilvl w:val="0"/>
          <w:numId w:val="51"/>
        </w:numPr>
        <w:ind w:right="-567"/>
        <w:rPr>
          <w:rFonts w:cstheme="minorHAnsi"/>
        </w:rPr>
      </w:pPr>
      <w:r w:rsidRPr="00453C3B">
        <w:rPr>
          <w:rFonts w:ascii="Calibri" w:eastAsia="Times New Roman" w:hAnsi="Calibri" w:cs="Calibri"/>
          <w:lang w:eastAsia="nl-BE"/>
        </w:rPr>
        <w:t>De premie brengt geen extra kosten met zich mee voor onze overheid</w:t>
      </w:r>
    </w:p>
    <w:p w14:paraId="2E107304" w14:textId="77777777" w:rsidR="00956E05" w:rsidRDefault="00453C3B" w:rsidP="00453C3B">
      <w:pPr>
        <w:ind w:right="-567"/>
        <w:rPr>
          <w:rFonts w:ascii="Calibri" w:eastAsia="Times New Roman" w:hAnsi="Calibri" w:cs="Calibri"/>
          <w:lang w:eastAsia="nl-BE"/>
        </w:rPr>
      </w:pPr>
      <w:r w:rsidRPr="00453C3B">
        <w:rPr>
          <w:rFonts w:ascii="Calibri" w:eastAsia="Times New Roman" w:hAnsi="Calibri" w:cs="Calibri"/>
          <w:b/>
          <w:bCs/>
          <w:lang w:eastAsia="nl-BE"/>
        </w:rPr>
        <w:t>Het kostenplaatje</w:t>
      </w:r>
      <w:r>
        <w:rPr>
          <w:rFonts w:ascii="Calibri" w:eastAsia="Times New Roman" w:hAnsi="Calibri" w:cs="Calibri"/>
          <w:lang w:eastAsia="nl-BE"/>
        </w:rPr>
        <w:br/>
      </w:r>
      <w:r>
        <w:rPr>
          <w:rFonts w:ascii="Calibri" w:eastAsia="Times New Roman" w:hAnsi="Calibri" w:cs="Calibri"/>
          <w:lang w:eastAsia="nl-BE"/>
        </w:rPr>
        <w:br/>
      </w:r>
      <w:r w:rsidR="00956E05">
        <w:rPr>
          <w:rFonts w:ascii="Calibri" w:eastAsia="Times New Roman" w:hAnsi="Calibri" w:cs="Calibri"/>
          <w:lang w:eastAsia="nl-BE"/>
        </w:rPr>
        <w:t>H</w:t>
      </w:r>
      <w:r w:rsidR="00956E05" w:rsidRPr="00956E05">
        <w:rPr>
          <w:rFonts w:ascii="Calibri" w:eastAsia="Times New Roman" w:hAnsi="Calibri" w:cs="Calibri"/>
          <w:lang w:eastAsia="nl-BE"/>
        </w:rPr>
        <w:t xml:space="preserve">et totale bedrag van de door de werkgever toegekende koopkrachtpremies </w:t>
      </w:r>
      <w:r w:rsidR="00956E05">
        <w:rPr>
          <w:rFonts w:ascii="Calibri" w:eastAsia="Times New Roman" w:hAnsi="Calibri" w:cs="Calibri"/>
          <w:lang w:eastAsia="nl-BE"/>
        </w:rPr>
        <w:t>zou niet meer mogen</w:t>
      </w:r>
      <w:r w:rsidR="00956E05" w:rsidRPr="00956E05">
        <w:rPr>
          <w:rFonts w:ascii="Calibri" w:eastAsia="Times New Roman" w:hAnsi="Calibri" w:cs="Calibri"/>
          <w:lang w:eastAsia="nl-BE"/>
        </w:rPr>
        <w:t xml:space="preserve"> bedragen dan 750 euro per werknemer en </w:t>
      </w:r>
      <w:r w:rsidR="00956E05">
        <w:rPr>
          <w:rFonts w:ascii="Calibri" w:eastAsia="Times New Roman" w:hAnsi="Calibri" w:cs="Calibri"/>
          <w:lang w:eastAsia="nl-BE"/>
        </w:rPr>
        <w:t>zou</w:t>
      </w:r>
      <w:r w:rsidR="00956E05" w:rsidRPr="00956E05">
        <w:rPr>
          <w:rFonts w:ascii="Calibri" w:eastAsia="Times New Roman" w:hAnsi="Calibri" w:cs="Calibri"/>
          <w:lang w:eastAsia="nl-BE"/>
        </w:rPr>
        <w:t xml:space="preserve"> slechts éénmalig per jaar </w:t>
      </w:r>
      <w:r w:rsidR="00956E05">
        <w:rPr>
          <w:rFonts w:ascii="Calibri" w:eastAsia="Times New Roman" w:hAnsi="Calibri" w:cs="Calibri"/>
          <w:lang w:eastAsia="nl-BE"/>
        </w:rPr>
        <w:t xml:space="preserve">mogen </w:t>
      </w:r>
      <w:r w:rsidR="00956E05" w:rsidRPr="00956E05">
        <w:rPr>
          <w:rFonts w:ascii="Calibri" w:eastAsia="Times New Roman" w:hAnsi="Calibri" w:cs="Calibri"/>
          <w:lang w:eastAsia="nl-BE"/>
        </w:rPr>
        <w:t>uitgekeerd worden</w:t>
      </w:r>
      <w:r w:rsidR="00956E05">
        <w:rPr>
          <w:rFonts w:ascii="Calibri" w:eastAsia="Times New Roman" w:hAnsi="Calibri" w:cs="Calibri"/>
          <w:lang w:eastAsia="nl-BE"/>
        </w:rPr>
        <w:t>.</w:t>
      </w:r>
    </w:p>
    <w:p w14:paraId="2FFB6D4D" w14:textId="48192982" w:rsidR="00453C3B" w:rsidRPr="00453C3B" w:rsidRDefault="00453C3B" w:rsidP="00453C3B">
      <w:pPr>
        <w:ind w:right="-567"/>
        <w:rPr>
          <w:rFonts w:cstheme="minorHAnsi"/>
        </w:rPr>
      </w:pPr>
      <w:r>
        <w:rPr>
          <w:rFonts w:ascii="Calibri" w:eastAsia="Times New Roman" w:hAnsi="Calibri" w:cs="Calibri"/>
          <w:lang w:eastAsia="nl-BE"/>
        </w:rPr>
        <w:t>B</w:t>
      </w:r>
      <w:r w:rsidRPr="00453C3B">
        <w:rPr>
          <w:rFonts w:ascii="Calibri" w:eastAsia="Times New Roman" w:hAnsi="Calibri" w:cs="Calibri"/>
          <w:lang w:eastAsia="nl-BE"/>
        </w:rPr>
        <w:t xml:space="preserve">edrijven die een koopkrachtpremie uitreiken </w:t>
      </w:r>
      <w:r>
        <w:rPr>
          <w:rFonts w:ascii="Calibri" w:eastAsia="Times New Roman" w:hAnsi="Calibri" w:cs="Calibri"/>
          <w:lang w:eastAsia="nl-BE"/>
        </w:rPr>
        <w:t xml:space="preserve">zouden </w:t>
      </w:r>
      <w:r w:rsidRPr="00453C3B">
        <w:rPr>
          <w:rFonts w:ascii="Calibri" w:eastAsia="Times New Roman" w:hAnsi="Calibri" w:cs="Calibri"/>
          <w:lang w:eastAsia="nl-BE"/>
        </w:rPr>
        <w:t>een bijdrage van 16,50 %</w:t>
      </w:r>
      <w:r>
        <w:rPr>
          <w:rFonts w:ascii="Calibri" w:eastAsia="Times New Roman" w:hAnsi="Calibri" w:cs="Calibri"/>
          <w:lang w:eastAsia="nl-BE"/>
        </w:rPr>
        <w:t xml:space="preserve"> verschuldigd zijn</w:t>
      </w:r>
      <w:r w:rsidRPr="00453C3B">
        <w:rPr>
          <w:rFonts w:ascii="Calibri" w:eastAsia="Times New Roman" w:hAnsi="Calibri" w:cs="Calibri"/>
          <w:lang w:eastAsia="nl-BE"/>
        </w:rPr>
        <w:t>, naar het model van de vorige koopkrachtpremie.</w:t>
      </w:r>
      <w:r w:rsidRPr="00453C3B">
        <w:rPr>
          <w:rFonts w:ascii="Calibri" w:eastAsia="Times New Roman" w:hAnsi="Calibri" w:cs="Calibri"/>
          <w:lang w:eastAsia="nl-BE"/>
        </w:rPr>
        <w:br/>
      </w:r>
      <w:r w:rsidRPr="00453C3B">
        <w:rPr>
          <w:rFonts w:ascii="Calibri" w:eastAsia="Times New Roman" w:hAnsi="Calibri" w:cs="Calibri"/>
          <w:lang w:eastAsia="nl-BE"/>
        </w:rPr>
        <w:br/>
      </w:r>
      <w:bookmarkEnd w:id="2"/>
      <w:bookmarkEnd w:id="3"/>
      <w:r w:rsidRPr="00453C3B">
        <w:rPr>
          <w:rFonts w:cstheme="minorHAnsi"/>
        </w:rPr>
        <w:fldChar w:fldCharType="begin"/>
      </w:r>
      <w:r w:rsidRPr="00453C3B">
        <w:rPr>
          <w:rFonts w:cstheme="minorHAnsi"/>
        </w:rPr>
        <w:instrText>HYPERLINK "https://www.dekamer.be/kvvcr/showpage.cfm?section=/none&amp;leftmenu=no&amp;language=nl&amp;cfm=/site/wwwcfm/flwb/flwbn.cfm?lang=N&amp;legislat=56&amp;dossierID=1393"</w:instrText>
      </w:r>
      <w:r w:rsidRPr="00453C3B">
        <w:rPr>
          <w:rFonts w:cstheme="minorHAnsi"/>
        </w:rPr>
        <w:fldChar w:fldCharType="separate"/>
      </w:r>
      <w:r w:rsidRPr="00453C3B">
        <w:rPr>
          <w:rStyle w:val="Hyperlink"/>
          <w:rFonts w:cstheme="minorHAnsi"/>
        </w:rPr>
        <w:t>Lees de volledige fiche van het wetsvoorstel</w:t>
      </w:r>
      <w:r w:rsidRPr="00453C3B">
        <w:rPr>
          <w:rFonts w:cstheme="minorHAnsi"/>
        </w:rPr>
        <w:fldChar w:fldCharType="end"/>
      </w:r>
    </w:p>
    <w:p w14:paraId="3EE77705" w14:textId="77777777" w:rsidR="004F15C9" w:rsidRDefault="004F15C9" w:rsidP="00967520">
      <w:pPr>
        <w:ind w:right="-567"/>
        <w:rPr>
          <w:rFonts w:cstheme="minorHAnsi"/>
        </w:rPr>
      </w:pPr>
    </w:p>
    <w:p w14:paraId="42C83DD1" w14:textId="06A5997D" w:rsidR="0053563E" w:rsidRDefault="00A97524" w:rsidP="00967520">
      <w:pPr>
        <w:ind w:right="-567"/>
        <w:rPr>
          <w:rFonts w:cstheme="minorHAnsi"/>
        </w:rPr>
      </w:pPr>
      <w:r>
        <w:rPr>
          <w:rFonts w:cstheme="minorHAnsi"/>
        </w:rPr>
        <w:br/>
      </w:r>
    </w:p>
    <w:p w14:paraId="28BCD5AC" w14:textId="77777777" w:rsidR="00967520" w:rsidRDefault="00967520" w:rsidP="00967520">
      <w:pPr>
        <w:ind w:right="-567"/>
        <w:rPr>
          <w:rFonts w:cstheme="minorHAnsi"/>
        </w:rPr>
      </w:pPr>
    </w:p>
    <w:bookmarkEnd w:id="0"/>
    <w:bookmarkEnd w:id="1"/>
    <w:p w14:paraId="41F15607" w14:textId="16F847E1" w:rsidR="0097221C" w:rsidRPr="0053563E" w:rsidRDefault="0097221C" w:rsidP="0097221C">
      <w:pPr>
        <w:ind w:right="-567"/>
        <w:rPr>
          <w:rFonts w:cstheme="minorHAnsi"/>
        </w:rPr>
      </w:pPr>
    </w:p>
    <w:sectPr w:rsidR="0097221C" w:rsidRPr="0053563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5592" w14:textId="77777777" w:rsidR="009B6DF2" w:rsidRDefault="009B6DF2" w:rsidP="00C4373D">
      <w:pPr>
        <w:spacing w:after="0" w:line="240" w:lineRule="auto"/>
      </w:pPr>
      <w:r>
        <w:separator/>
      </w:r>
    </w:p>
  </w:endnote>
  <w:endnote w:type="continuationSeparator" w:id="0">
    <w:p w14:paraId="100470BA" w14:textId="77777777" w:rsidR="009B6DF2" w:rsidRDefault="009B6DF2"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5AB5" w14:textId="77777777" w:rsidR="009B6DF2" w:rsidRDefault="009B6DF2" w:rsidP="00C4373D">
      <w:pPr>
        <w:spacing w:after="0" w:line="240" w:lineRule="auto"/>
      </w:pPr>
      <w:r>
        <w:separator/>
      </w:r>
    </w:p>
  </w:footnote>
  <w:footnote w:type="continuationSeparator" w:id="0">
    <w:p w14:paraId="4799B7E4" w14:textId="77777777" w:rsidR="009B6DF2" w:rsidRDefault="009B6DF2"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ED3073"/>
    <w:multiLevelType w:val="hybridMultilevel"/>
    <w:tmpl w:val="D80E44A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6"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1538BC"/>
    <w:multiLevelType w:val="hybridMultilevel"/>
    <w:tmpl w:val="E186523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4"/>
  </w:num>
  <w:num w:numId="2" w16cid:durableId="1601796514">
    <w:abstractNumId w:val="5"/>
  </w:num>
  <w:num w:numId="3" w16cid:durableId="440689025">
    <w:abstractNumId w:val="15"/>
  </w:num>
  <w:num w:numId="4" w16cid:durableId="1901482466">
    <w:abstractNumId w:val="20"/>
  </w:num>
  <w:num w:numId="5" w16cid:durableId="2131043963">
    <w:abstractNumId w:val="32"/>
  </w:num>
  <w:num w:numId="6" w16cid:durableId="2141193137">
    <w:abstractNumId w:val="1"/>
  </w:num>
  <w:num w:numId="7" w16cid:durableId="1513370548">
    <w:abstractNumId w:val="35"/>
  </w:num>
  <w:num w:numId="8" w16cid:durableId="309135586">
    <w:abstractNumId w:val="12"/>
  </w:num>
  <w:num w:numId="9" w16cid:durableId="1667711385">
    <w:abstractNumId w:val="18"/>
  </w:num>
  <w:num w:numId="10" w16cid:durableId="65692917">
    <w:abstractNumId w:val="4"/>
  </w:num>
  <w:num w:numId="11" w16cid:durableId="1627737823">
    <w:abstractNumId w:val="23"/>
  </w:num>
  <w:num w:numId="12" w16cid:durableId="675577769">
    <w:abstractNumId w:val="42"/>
  </w:num>
  <w:num w:numId="13" w16cid:durableId="1242981590">
    <w:abstractNumId w:val="26"/>
  </w:num>
  <w:num w:numId="14" w16cid:durableId="489247868">
    <w:abstractNumId w:val="31"/>
  </w:num>
  <w:num w:numId="15" w16cid:durableId="1876037715">
    <w:abstractNumId w:val="45"/>
  </w:num>
  <w:num w:numId="16" w16cid:durableId="1374497907">
    <w:abstractNumId w:val="50"/>
  </w:num>
  <w:num w:numId="17" w16cid:durableId="169950374">
    <w:abstractNumId w:val="27"/>
  </w:num>
  <w:num w:numId="18" w16cid:durableId="1039237021">
    <w:abstractNumId w:val="28"/>
  </w:num>
  <w:num w:numId="19" w16cid:durableId="737214983">
    <w:abstractNumId w:val="33"/>
  </w:num>
  <w:num w:numId="20" w16cid:durableId="1602377082">
    <w:abstractNumId w:val="38"/>
  </w:num>
  <w:num w:numId="21" w16cid:durableId="110172665">
    <w:abstractNumId w:val="36"/>
  </w:num>
  <w:num w:numId="22" w16cid:durableId="1058238571">
    <w:abstractNumId w:val="30"/>
  </w:num>
  <w:num w:numId="23" w16cid:durableId="718822067">
    <w:abstractNumId w:val="46"/>
  </w:num>
  <w:num w:numId="24" w16cid:durableId="304354091">
    <w:abstractNumId w:val="49"/>
  </w:num>
  <w:num w:numId="25" w16cid:durableId="971404024">
    <w:abstractNumId w:val="8"/>
  </w:num>
  <w:num w:numId="26" w16cid:durableId="1630160327">
    <w:abstractNumId w:val="13"/>
  </w:num>
  <w:num w:numId="27" w16cid:durableId="1073284371">
    <w:abstractNumId w:val="37"/>
  </w:num>
  <w:num w:numId="28" w16cid:durableId="1285769254">
    <w:abstractNumId w:val="29"/>
  </w:num>
  <w:num w:numId="29" w16cid:durableId="204803538">
    <w:abstractNumId w:val="16"/>
  </w:num>
  <w:num w:numId="30" w16cid:durableId="828402830">
    <w:abstractNumId w:val="21"/>
  </w:num>
  <w:num w:numId="31" w16cid:durableId="1150054238">
    <w:abstractNumId w:val="7"/>
  </w:num>
  <w:num w:numId="32" w16cid:durableId="309335814">
    <w:abstractNumId w:val="19"/>
  </w:num>
  <w:num w:numId="33" w16cid:durableId="361635184">
    <w:abstractNumId w:val="40"/>
  </w:num>
  <w:num w:numId="34" w16cid:durableId="581061592">
    <w:abstractNumId w:val="48"/>
  </w:num>
  <w:num w:numId="35" w16cid:durableId="320429449">
    <w:abstractNumId w:val="39"/>
  </w:num>
  <w:num w:numId="36" w16cid:durableId="858933622">
    <w:abstractNumId w:val="6"/>
  </w:num>
  <w:num w:numId="37" w16cid:durableId="1306857178">
    <w:abstractNumId w:val="3"/>
  </w:num>
  <w:num w:numId="38" w16cid:durableId="1035034478">
    <w:abstractNumId w:val="0"/>
  </w:num>
  <w:num w:numId="39" w16cid:durableId="2086300692">
    <w:abstractNumId w:val="34"/>
  </w:num>
  <w:num w:numId="40" w16cid:durableId="2104374950">
    <w:abstractNumId w:val="2"/>
  </w:num>
  <w:num w:numId="41" w16cid:durableId="237793568">
    <w:abstractNumId w:val="9"/>
  </w:num>
  <w:num w:numId="42" w16cid:durableId="1088425167">
    <w:abstractNumId w:val="17"/>
  </w:num>
  <w:num w:numId="43" w16cid:durableId="1806388838">
    <w:abstractNumId w:val="14"/>
  </w:num>
  <w:num w:numId="44" w16cid:durableId="1676760872">
    <w:abstractNumId w:val="43"/>
  </w:num>
  <w:num w:numId="45" w16cid:durableId="333846113">
    <w:abstractNumId w:val="25"/>
  </w:num>
  <w:num w:numId="46" w16cid:durableId="1352535775">
    <w:abstractNumId w:val="22"/>
  </w:num>
  <w:num w:numId="47" w16cid:durableId="2115054309">
    <w:abstractNumId w:val="44"/>
  </w:num>
  <w:num w:numId="48" w16cid:durableId="50152864">
    <w:abstractNumId w:val="11"/>
  </w:num>
  <w:num w:numId="49" w16cid:durableId="358775554">
    <w:abstractNumId w:val="41"/>
  </w:num>
  <w:num w:numId="50" w16cid:durableId="1082609561">
    <w:abstractNumId w:val="47"/>
  </w:num>
  <w:num w:numId="51" w16cid:durableId="397293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0489E"/>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51684"/>
    <w:rsid w:val="00453C3B"/>
    <w:rsid w:val="00453C3C"/>
    <w:rsid w:val="00455D2F"/>
    <w:rsid w:val="004649C1"/>
    <w:rsid w:val="00473A0F"/>
    <w:rsid w:val="00474ABF"/>
    <w:rsid w:val="004807CF"/>
    <w:rsid w:val="00483E23"/>
    <w:rsid w:val="004867D3"/>
    <w:rsid w:val="004876D0"/>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15C9"/>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26FB"/>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56E05"/>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B6DF2"/>
    <w:rsid w:val="009C15DF"/>
    <w:rsid w:val="009C4FED"/>
    <w:rsid w:val="009D2874"/>
    <w:rsid w:val="009D3F8F"/>
    <w:rsid w:val="009D619C"/>
    <w:rsid w:val="009E0D10"/>
    <w:rsid w:val="009E4595"/>
    <w:rsid w:val="009E4D63"/>
    <w:rsid w:val="009E655F"/>
    <w:rsid w:val="009F2502"/>
    <w:rsid w:val="009F50EF"/>
    <w:rsid w:val="009F6D0E"/>
    <w:rsid w:val="00A00763"/>
    <w:rsid w:val="00A01FC4"/>
    <w:rsid w:val="00A02A7F"/>
    <w:rsid w:val="00A04F4D"/>
    <w:rsid w:val="00A070E2"/>
    <w:rsid w:val="00A111BA"/>
    <w:rsid w:val="00A12427"/>
    <w:rsid w:val="00A13A2D"/>
    <w:rsid w:val="00A168AE"/>
    <w:rsid w:val="00A20135"/>
    <w:rsid w:val="00A25DA9"/>
    <w:rsid w:val="00A271AC"/>
    <w:rsid w:val="00A27580"/>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0712"/>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64DE"/>
    <w:rsid w:val="00D770CF"/>
    <w:rsid w:val="00D81954"/>
    <w:rsid w:val="00D83A05"/>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14B8"/>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917"/>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1479</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2026-03-04T17:50:00Z</dcterms:created>
  <dcterms:modified xsi:type="dcterms:W3CDTF">2026-03-04T17:50:00Z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