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991A2" w14:textId="5CDAE934" w:rsidR="0029696E" w:rsidRDefault="008437E9" w:rsidP="00D6456C">
      <w:pPr>
        <w:ind w:right="-567"/>
        <w:rPr>
          <w:rFonts w:ascii="Times New Roman" w:eastAsia="Times New Roman" w:hAnsi="Times New Roman" w:cs="Times New Roman"/>
          <w:sz w:val="24"/>
          <w:szCs w:val="24"/>
          <w:lang w:eastAsia="nl-BE"/>
        </w:rPr>
      </w:pPr>
      <w:bookmarkStart w:id="0" w:name="_Hlk201852803"/>
      <w:bookmarkStart w:id="1" w:name="_Hlk218154789"/>
      <w:bookmarkStart w:id="2" w:name="_Hlk150935450"/>
      <w:bookmarkStart w:id="3" w:name="_Hlk495302387"/>
      <w:r w:rsidRPr="008437E9">
        <w:rPr>
          <w:rFonts w:cstheme="minorHAnsi"/>
          <w:b/>
          <w:bCs/>
        </w:rPr>
        <w:t xml:space="preserve">Oplichting bij factoring en eigen schuld van het slachtoffer: kan een oplichter zich beroepen op de onzorgvuldigheid van de bedrogene? </w:t>
      </w:r>
      <w:proofErr w:type="spellStart"/>
      <w:r w:rsidRPr="008437E9">
        <w:rPr>
          <w:rFonts w:cstheme="minorHAnsi"/>
          <w:b/>
          <w:bCs/>
        </w:rPr>
        <w:t>Cass</w:t>
      </w:r>
      <w:proofErr w:type="spellEnd"/>
      <w:r w:rsidRPr="008437E9">
        <w:rPr>
          <w:rFonts w:cstheme="minorHAnsi"/>
          <w:b/>
          <w:bCs/>
        </w:rPr>
        <w:t>. 31 maart</w:t>
      </w:r>
      <w:r w:rsidR="008F4B6B" w:rsidRPr="008437E9">
        <w:rPr>
          <w:rFonts w:eastAsia="Times New Roman" w:cstheme="minorHAnsi"/>
          <w:b/>
          <w:bCs/>
          <w:color w:val="000000"/>
          <w:lang w:eastAsia="nl-BE"/>
        </w:rPr>
        <w:t xml:space="preserve"> 202</w:t>
      </w:r>
      <w:r w:rsidR="00DA03CC" w:rsidRPr="008437E9">
        <w:rPr>
          <w:rFonts w:eastAsia="Times New Roman" w:cstheme="minorHAnsi"/>
          <w:b/>
          <w:bCs/>
          <w:color w:val="000000"/>
          <w:lang w:eastAsia="nl-BE"/>
        </w:rPr>
        <w:t>6</w:t>
      </w:r>
      <w:bookmarkEnd w:id="0"/>
      <w:r w:rsidR="001A7631" w:rsidRPr="008437E9">
        <w:rPr>
          <w:rFonts w:eastAsia="Times New Roman" w:cstheme="minorHAnsi"/>
          <w:b/>
          <w:bCs/>
          <w:color w:val="000000"/>
          <w:lang w:eastAsia="nl-BE"/>
        </w:rPr>
        <w:t xml:space="preserve"> </w:t>
      </w:r>
      <w:r w:rsidR="00B446D3">
        <w:rPr>
          <w:rFonts w:cstheme="minorHAnsi"/>
          <w:b/>
          <w:bCs/>
        </w:rPr>
        <w:t>(</w:t>
      </w:r>
      <w:r w:rsidR="00372B6F">
        <w:rPr>
          <w:rFonts w:cstheme="minorHAnsi"/>
          <w:b/>
          <w:bCs/>
        </w:rPr>
        <w:t>Eric B.</w:t>
      </w:r>
      <w:r w:rsidR="00B446D3">
        <w:rPr>
          <w:rFonts w:cstheme="minorHAnsi"/>
          <w:b/>
          <w:bCs/>
        </w:rPr>
        <w:t>)</w:t>
      </w:r>
      <w:bookmarkEnd w:id="1"/>
      <w:r w:rsidR="0053563E" w:rsidRPr="0053563E">
        <w:rPr>
          <w:rFonts w:ascii="Times New Roman" w:eastAsia="Times New Roman" w:hAnsi="Times New Roman" w:cs="Times New Roman"/>
          <w:sz w:val="24"/>
          <w:szCs w:val="24"/>
          <w:lang w:eastAsia="nl-BE"/>
        </w:rPr>
        <w:t xml:space="preserve"> </w:t>
      </w:r>
    </w:p>
    <w:p w14:paraId="07ED8C9B" w14:textId="530873A6" w:rsidR="00810168" w:rsidRPr="00A6135D" w:rsidRDefault="00BB4DC4" w:rsidP="00D6456C">
      <w:pPr>
        <w:ind w:right="-567"/>
        <w:rPr>
          <w:rFonts w:ascii="Calibri" w:hAnsi="Calibri" w:cs="Calibri"/>
          <w:b/>
          <w:bCs/>
          <w:i/>
          <w:iCs/>
        </w:rPr>
      </w:pPr>
      <w:r>
        <w:rPr>
          <w:rFonts w:cstheme="minorHAnsi"/>
          <w:b/>
          <w:bCs/>
        </w:rPr>
        <w:br/>
      </w:r>
      <w:r w:rsidR="00810168" w:rsidRPr="00A6135D">
        <w:rPr>
          <w:rFonts w:ascii="Calibri" w:hAnsi="Calibri" w:cs="Calibri"/>
          <w:b/>
          <w:bCs/>
          <w:i/>
          <w:iCs/>
        </w:rPr>
        <w:t xml:space="preserve">Samenvatting </w:t>
      </w:r>
      <w:r w:rsidR="00810168">
        <w:rPr>
          <w:rFonts w:ascii="Calibri" w:hAnsi="Calibri" w:cs="Calibri"/>
          <w:b/>
          <w:bCs/>
          <w:i/>
          <w:iCs/>
        </w:rPr>
        <w:t xml:space="preserve">gemaakt met behulp van </w:t>
      </w:r>
      <w:r w:rsidR="00810168" w:rsidRPr="00A6135D">
        <w:rPr>
          <w:rFonts w:ascii="Calibri" w:hAnsi="Calibri" w:cs="Calibri"/>
          <w:b/>
          <w:bCs/>
          <w:i/>
          <w:iCs/>
        </w:rPr>
        <w:t>AI</w:t>
      </w:r>
    </w:p>
    <w:p w14:paraId="0439F239" w14:textId="06F2E727" w:rsidR="008F4B6B" w:rsidRDefault="00372B6F" w:rsidP="000A42F7">
      <w:pPr>
        <w:ind w:right="-284"/>
        <w:rPr>
          <w:rFonts w:cstheme="minorHAnsi"/>
        </w:rPr>
      </w:pPr>
      <w:r>
        <w:rPr>
          <w:rFonts w:cstheme="minorHAnsi"/>
          <w:b/>
          <w:bCs/>
        </w:rPr>
        <w:t>Feiten</w:t>
      </w:r>
      <w:r w:rsidR="0029696E">
        <w:rPr>
          <w:rFonts w:cstheme="minorHAnsi"/>
          <w:b/>
          <w:bCs/>
        </w:rPr>
        <w:br/>
      </w:r>
      <w:r w:rsidR="00A10059">
        <w:rPr>
          <w:rFonts w:cstheme="minorHAnsi"/>
          <w:b/>
          <w:bCs/>
        </w:rPr>
        <w:br/>
      </w:r>
      <w:r w:rsidR="0029696E" w:rsidRPr="0029696E">
        <w:rPr>
          <w:rFonts w:cstheme="minorHAnsi"/>
        </w:rPr>
        <w:t xml:space="preserve">Een bedrijf had een factoringovereenkomst met een bank, wat betekende dat de openstaande facturen aan deze bank betaald moesten worden. De zaakvoerders stuurden de facturen naar een klant, inclusief een duidelijke sticker dat enkel betaling aan de bank geldig was. Toen de klant echter klaagde over de manier van verzenden, stuurden de zaakvoerders diezelfde facturen opnieuw, maar dit keer zonder de banksticker, met eigen rekeningnummers én met een commerciële korting voor een snelle betaling. </w:t>
      </w:r>
      <w:r w:rsidR="0029696E">
        <w:rPr>
          <w:rFonts w:cstheme="minorHAnsi"/>
        </w:rPr>
        <w:br/>
      </w:r>
      <w:r w:rsidR="0029696E" w:rsidRPr="0029696E">
        <w:rPr>
          <w:rFonts w:cstheme="minorHAnsi"/>
        </w:rPr>
        <w:t xml:space="preserve">De klant betaalde daardoor rechtstreeks aan het bedrijf, dat het geld zelf hield en niet doorstortte. </w:t>
      </w:r>
      <w:r w:rsidR="0029696E">
        <w:rPr>
          <w:rFonts w:cstheme="minorHAnsi"/>
        </w:rPr>
        <w:br/>
      </w:r>
      <w:r w:rsidR="0029696E" w:rsidRPr="0029696E">
        <w:rPr>
          <w:rFonts w:cstheme="minorHAnsi"/>
        </w:rPr>
        <w:t>Het gevolg was dat de klant naderhand veroordeeld werd om de facturen alsnog een tweede keer, ditmaal aan de bank, te betalen.</w:t>
      </w:r>
    </w:p>
    <w:p w14:paraId="6573E2DB" w14:textId="62775BB2" w:rsidR="0029696E" w:rsidRPr="00EE2C01" w:rsidRDefault="0029696E" w:rsidP="000A42F7">
      <w:pPr>
        <w:ind w:right="-284"/>
        <w:rPr>
          <w:rFonts w:cstheme="minorHAnsi"/>
        </w:rPr>
      </w:pPr>
      <w:r w:rsidRPr="0029696E">
        <w:rPr>
          <w:rFonts w:cstheme="minorHAnsi"/>
          <w:b/>
          <w:bCs/>
        </w:rPr>
        <w:t>Verweermiddelen</w:t>
      </w:r>
      <w:r>
        <w:rPr>
          <w:rFonts w:cstheme="minorHAnsi"/>
          <w:b/>
          <w:bCs/>
        </w:rPr>
        <w:br/>
      </w:r>
      <w:r>
        <w:rPr>
          <w:rFonts w:cstheme="minorHAnsi"/>
        </w:rPr>
        <w:br/>
      </w:r>
      <w:r w:rsidRPr="0029696E">
        <w:rPr>
          <w:rFonts w:cstheme="minorHAnsi"/>
        </w:rPr>
        <w:t xml:space="preserve">De veroordeelde zaakvoerders trokken naar het Hof van Cassatie en voerden aan dat hun recht van verdediging geschonden was, omdat de rechter in hoger beroep de feiten plots </w:t>
      </w:r>
      <w:proofErr w:type="spellStart"/>
      <w:r w:rsidRPr="0029696E">
        <w:rPr>
          <w:rFonts w:cstheme="minorHAnsi"/>
        </w:rPr>
        <w:t>herkwalificeerde</w:t>
      </w:r>
      <w:proofErr w:type="spellEnd"/>
      <w:r w:rsidRPr="0029696E">
        <w:rPr>
          <w:rFonts w:cstheme="minorHAnsi"/>
        </w:rPr>
        <w:t xml:space="preserve"> naar 'oplichting' zonder hen te verwittigen. Bovendien stelden zij dat de bedrogen klant zelf onzorgvuldig en nalatig was geweest door de facturen zomaar aan de verkeerde partij te betalen. Volgens de verdediging moest de rechter daarom de aansprakelijkheid voor de geleden schade verdelen wegens deze "eigen fout" van het slachtoffer.</w:t>
      </w:r>
    </w:p>
    <w:p w14:paraId="6CE2F14B" w14:textId="3EFCCF19" w:rsidR="008F4B6B" w:rsidRPr="00EA6B55" w:rsidRDefault="00372B6F" w:rsidP="002C16D3">
      <w:pPr>
        <w:spacing w:after="120" w:line="240" w:lineRule="auto"/>
        <w:ind w:right="-284"/>
        <w:rPr>
          <w:rFonts w:cstheme="minorHAnsi"/>
        </w:rPr>
      </w:pPr>
      <w:r>
        <w:rPr>
          <w:rFonts w:cstheme="minorHAnsi"/>
          <w:b/>
          <w:bCs/>
        </w:rPr>
        <w:t>Principes</w:t>
      </w:r>
      <w:r w:rsidR="000A42F7">
        <w:rPr>
          <w:rFonts w:cstheme="minorHAnsi"/>
          <w:b/>
          <w:bCs/>
        </w:rPr>
        <w:br/>
      </w:r>
      <w:r w:rsidR="007F457C">
        <w:rPr>
          <w:rFonts w:cstheme="minorHAnsi"/>
          <w:b/>
          <w:bCs/>
        </w:rPr>
        <w:br/>
      </w:r>
      <w:r w:rsidR="0029696E" w:rsidRPr="0029696E">
        <w:rPr>
          <w:rFonts w:cstheme="minorHAnsi"/>
        </w:rPr>
        <w:t>Het Hof van Cassatie verwerpt de argumenten en verwijst naar het belangrijke algemene rechtsbeginsel '</w:t>
      </w:r>
      <w:proofErr w:type="spellStart"/>
      <w:r w:rsidR="0029696E" w:rsidRPr="0029696E">
        <w:rPr>
          <w:rFonts w:cstheme="minorHAnsi"/>
        </w:rPr>
        <w:t>fraus</w:t>
      </w:r>
      <w:proofErr w:type="spellEnd"/>
      <w:r w:rsidR="0029696E" w:rsidRPr="0029696E">
        <w:rPr>
          <w:rFonts w:cstheme="minorHAnsi"/>
        </w:rPr>
        <w:t xml:space="preserve"> </w:t>
      </w:r>
      <w:proofErr w:type="spellStart"/>
      <w:r w:rsidR="0029696E" w:rsidRPr="0029696E">
        <w:rPr>
          <w:rFonts w:cstheme="minorHAnsi"/>
        </w:rPr>
        <w:t>omnia</w:t>
      </w:r>
      <w:proofErr w:type="spellEnd"/>
      <w:r w:rsidR="0029696E" w:rsidRPr="0029696E">
        <w:rPr>
          <w:rFonts w:cstheme="minorHAnsi"/>
        </w:rPr>
        <w:t xml:space="preserve"> </w:t>
      </w:r>
      <w:proofErr w:type="spellStart"/>
      <w:r w:rsidR="0029696E" w:rsidRPr="0029696E">
        <w:rPr>
          <w:rFonts w:cstheme="minorHAnsi"/>
        </w:rPr>
        <w:t>corrumpit</w:t>
      </w:r>
      <w:proofErr w:type="spellEnd"/>
      <w:r w:rsidR="0029696E" w:rsidRPr="0029696E">
        <w:rPr>
          <w:rFonts w:cstheme="minorHAnsi"/>
        </w:rPr>
        <w:t>' (bedrog bederft alles). Dit principe sluit ronduit uit dat de dader van een opzettelijk misdrijf, zoals oplichting, een verdeling van de aansprakelijkheid kan eisen wegens een louter niet-opzettelijke onzorgvuldigheid van het slachtoffer. Daarnaast oordeelt het Hof dat een rechter in hoger beroep de beklaagde niet hoeft te waarschuwen wanneer hij teruggrijpt naar een andere misdrijfomschrijving die al vanaf het prille begin in de inleidende akte stond. De beklaagden hadden hun verdediging immers op al deze oorspronkelijke kwalificaties kunnen en moeten voorbereiden.</w:t>
      </w:r>
    </w:p>
    <w:p w14:paraId="709441A6" w14:textId="63DDAC05" w:rsidR="008F4B6B" w:rsidRPr="0029696E" w:rsidRDefault="00372B6F" w:rsidP="002C16D3">
      <w:pPr>
        <w:spacing w:after="120" w:line="240" w:lineRule="auto"/>
        <w:ind w:right="-284"/>
        <w:rPr>
          <w:rFonts w:cstheme="minorHAnsi"/>
        </w:rPr>
      </w:pPr>
      <w:r>
        <w:rPr>
          <w:rFonts w:cstheme="minorHAnsi"/>
          <w:b/>
          <w:bCs/>
        </w:rPr>
        <w:t>Besluit</w:t>
      </w:r>
      <w:r w:rsidR="0029696E">
        <w:rPr>
          <w:rFonts w:cstheme="minorHAnsi"/>
          <w:b/>
          <w:bCs/>
        </w:rPr>
        <w:br/>
      </w:r>
      <w:r w:rsidR="0029696E">
        <w:rPr>
          <w:rFonts w:cstheme="minorHAnsi"/>
          <w:b/>
          <w:bCs/>
        </w:rPr>
        <w:br/>
      </w:r>
      <w:r w:rsidR="0029696E" w:rsidRPr="0029696E">
        <w:rPr>
          <w:rFonts w:cstheme="minorHAnsi"/>
        </w:rPr>
        <w:t>Het Hof van Cassatie geeft de eisers over de hele lijn ongelijk. Het cassatieberoep wordt dan ook in zijn geheel verworpen. </w:t>
      </w:r>
    </w:p>
    <w:bookmarkEnd w:id="2"/>
    <w:bookmarkEnd w:id="3"/>
    <w:p w14:paraId="770A638C" w14:textId="48107180" w:rsidR="000A42F7" w:rsidRDefault="0029696E" w:rsidP="00F2263F">
      <w:pPr>
        <w:ind w:right="-284"/>
      </w:pPr>
      <w:r>
        <w:fldChar w:fldCharType="begin"/>
      </w:r>
      <w:r>
        <w:instrText>HYPERLINK "https://juportal.be/content/ECLI:BE:CASS:2026:ARR.20260331.2N.16/NL"</w:instrText>
      </w:r>
      <w:r>
        <w:fldChar w:fldCharType="separate"/>
      </w:r>
      <w:r>
        <w:rPr>
          <w:rStyle w:val="Hyperlink"/>
        </w:rPr>
        <w:t xml:space="preserve">Lees het arrest </w:t>
      </w:r>
      <w:r>
        <w:fldChar w:fldCharType="end"/>
      </w:r>
    </w:p>
    <w:p w14:paraId="305D8E43" w14:textId="6499F522" w:rsidR="00372B6F" w:rsidRPr="00F973CD" w:rsidRDefault="00372B6F" w:rsidP="00F2263F">
      <w:pPr>
        <w:ind w:right="-284"/>
        <w:rPr>
          <w:rFonts w:ascii="Calibri" w:hAnsi="Calibri" w:cs="Calibri"/>
        </w:rPr>
      </w:pPr>
      <w:hyperlink r:id="rId7" w:history="1">
        <w:r w:rsidRPr="00F973CD">
          <w:rPr>
            <w:rStyle w:val="Hyperlink"/>
            <w:rFonts w:ascii="Calibri" w:hAnsi="Calibri" w:cs="Calibri"/>
          </w:rPr>
          <w:t>Eric B.</w:t>
        </w:r>
      </w:hyperlink>
      <w:r w:rsidRPr="00F973CD">
        <w:rPr>
          <w:rFonts w:ascii="Calibri" w:hAnsi="Calibri" w:cs="Calibri"/>
        </w:rPr>
        <w:t xml:space="preserve"> </w:t>
      </w:r>
    </w:p>
    <w:p w14:paraId="21E4079C" w14:textId="77777777" w:rsidR="0075129E" w:rsidRPr="00F973CD" w:rsidRDefault="0075129E" w:rsidP="00F2263F">
      <w:pPr>
        <w:ind w:right="-284"/>
        <w:rPr>
          <w:rFonts w:cstheme="minorHAnsi"/>
        </w:rPr>
      </w:pPr>
    </w:p>
    <w:sectPr w:rsidR="0075129E" w:rsidRPr="00F973C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D3391" w14:textId="77777777" w:rsidR="006B3F1C" w:rsidRDefault="006B3F1C" w:rsidP="00C4373D">
      <w:pPr>
        <w:spacing w:after="0" w:line="240" w:lineRule="auto"/>
      </w:pPr>
      <w:r>
        <w:separator/>
      </w:r>
    </w:p>
  </w:endnote>
  <w:endnote w:type="continuationSeparator" w:id="0">
    <w:p w14:paraId="47DE604B" w14:textId="77777777" w:rsidR="006B3F1C" w:rsidRDefault="006B3F1C"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90FCF" w14:textId="77777777" w:rsidR="006B3F1C" w:rsidRDefault="006B3F1C" w:rsidP="00C4373D">
      <w:pPr>
        <w:spacing w:after="0" w:line="240" w:lineRule="auto"/>
      </w:pPr>
      <w:r>
        <w:separator/>
      </w:r>
    </w:p>
  </w:footnote>
  <w:footnote w:type="continuationSeparator" w:id="0">
    <w:p w14:paraId="3FC87CBA" w14:textId="77777777" w:rsidR="006B3F1C" w:rsidRDefault="006B3F1C"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31FF"/>
    <w:rsid w:val="00015382"/>
    <w:rsid w:val="00015594"/>
    <w:rsid w:val="00020ED7"/>
    <w:rsid w:val="00021B81"/>
    <w:rsid w:val="00023863"/>
    <w:rsid w:val="00026242"/>
    <w:rsid w:val="00027899"/>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2C34"/>
    <w:rsid w:val="0008385D"/>
    <w:rsid w:val="00084FE7"/>
    <w:rsid w:val="00085DC2"/>
    <w:rsid w:val="00090416"/>
    <w:rsid w:val="000935FE"/>
    <w:rsid w:val="00094E33"/>
    <w:rsid w:val="000956A5"/>
    <w:rsid w:val="000962B2"/>
    <w:rsid w:val="00096722"/>
    <w:rsid w:val="000A1A5E"/>
    <w:rsid w:val="000A42F7"/>
    <w:rsid w:val="000A548A"/>
    <w:rsid w:val="000A65DD"/>
    <w:rsid w:val="000B13CF"/>
    <w:rsid w:val="000B1BCD"/>
    <w:rsid w:val="000B6370"/>
    <w:rsid w:val="000C1193"/>
    <w:rsid w:val="000C34C9"/>
    <w:rsid w:val="000C3AD8"/>
    <w:rsid w:val="000C44BF"/>
    <w:rsid w:val="000C4EF8"/>
    <w:rsid w:val="000D520B"/>
    <w:rsid w:val="000E195C"/>
    <w:rsid w:val="000E57EA"/>
    <w:rsid w:val="000E70CE"/>
    <w:rsid w:val="000E75BF"/>
    <w:rsid w:val="000F1F6A"/>
    <w:rsid w:val="000F6081"/>
    <w:rsid w:val="00101724"/>
    <w:rsid w:val="00106BC0"/>
    <w:rsid w:val="001137A8"/>
    <w:rsid w:val="00117149"/>
    <w:rsid w:val="00122D52"/>
    <w:rsid w:val="001245A8"/>
    <w:rsid w:val="00126384"/>
    <w:rsid w:val="00130421"/>
    <w:rsid w:val="00132CE2"/>
    <w:rsid w:val="00136848"/>
    <w:rsid w:val="00140D8D"/>
    <w:rsid w:val="00142636"/>
    <w:rsid w:val="001507DE"/>
    <w:rsid w:val="001639C1"/>
    <w:rsid w:val="001645A8"/>
    <w:rsid w:val="00176DCA"/>
    <w:rsid w:val="001855D6"/>
    <w:rsid w:val="00185B54"/>
    <w:rsid w:val="001872C2"/>
    <w:rsid w:val="00195186"/>
    <w:rsid w:val="001A044B"/>
    <w:rsid w:val="001A5AA4"/>
    <w:rsid w:val="001A66A4"/>
    <w:rsid w:val="001A7631"/>
    <w:rsid w:val="001B4671"/>
    <w:rsid w:val="001B6562"/>
    <w:rsid w:val="001C1EA0"/>
    <w:rsid w:val="001D0E11"/>
    <w:rsid w:val="001D2406"/>
    <w:rsid w:val="001D2BA2"/>
    <w:rsid w:val="001D6790"/>
    <w:rsid w:val="001E0EE5"/>
    <w:rsid w:val="001E2A69"/>
    <w:rsid w:val="001E2E54"/>
    <w:rsid w:val="001E3411"/>
    <w:rsid w:val="001E5757"/>
    <w:rsid w:val="001E5A4B"/>
    <w:rsid w:val="001E7F5C"/>
    <w:rsid w:val="001F51E4"/>
    <w:rsid w:val="0020045D"/>
    <w:rsid w:val="0020069D"/>
    <w:rsid w:val="00200C5A"/>
    <w:rsid w:val="00207CB8"/>
    <w:rsid w:val="00210036"/>
    <w:rsid w:val="00210DF1"/>
    <w:rsid w:val="00214BB8"/>
    <w:rsid w:val="00216A56"/>
    <w:rsid w:val="00230462"/>
    <w:rsid w:val="00233A28"/>
    <w:rsid w:val="00243452"/>
    <w:rsid w:val="00246C2D"/>
    <w:rsid w:val="00251C48"/>
    <w:rsid w:val="00256DBB"/>
    <w:rsid w:val="002603F1"/>
    <w:rsid w:val="00261A7E"/>
    <w:rsid w:val="00262183"/>
    <w:rsid w:val="00262700"/>
    <w:rsid w:val="0027322A"/>
    <w:rsid w:val="002739A5"/>
    <w:rsid w:val="0027511B"/>
    <w:rsid w:val="00284118"/>
    <w:rsid w:val="00287DE9"/>
    <w:rsid w:val="00291CE0"/>
    <w:rsid w:val="0029276B"/>
    <w:rsid w:val="0029696E"/>
    <w:rsid w:val="002A01E0"/>
    <w:rsid w:val="002A211D"/>
    <w:rsid w:val="002A379F"/>
    <w:rsid w:val="002A4003"/>
    <w:rsid w:val="002A7C8A"/>
    <w:rsid w:val="002B21FE"/>
    <w:rsid w:val="002B2C1A"/>
    <w:rsid w:val="002B62AD"/>
    <w:rsid w:val="002B6E48"/>
    <w:rsid w:val="002B6FD8"/>
    <w:rsid w:val="002B731F"/>
    <w:rsid w:val="002B7C25"/>
    <w:rsid w:val="002C16D3"/>
    <w:rsid w:val="002D0148"/>
    <w:rsid w:val="002D3AE9"/>
    <w:rsid w:val="002E05B7"/>
    <w:rsid w:val="002E0766"/>
    <w:rsid w:val="002E14AB"/>
    <w:rsid w:val="002E41EE"/>
    <w:rsid w:val="002E6FB0"/>
    <w:rsid w:val="002E7D17"/>
    <w:rsid w:val="002F0BC8"/>
    <w:rsid w:val="002F1548"/>
    <w:rsid w:val="002F1BB0"/>
    <w:rsid w:val="002F46FB"/>
    <w:rsid w:val="002F5294"/>
    <w:rsid w:val="0030067A"/>
    <w:rsid w:val="0030092C"/>
    <w:rsid w:val="00304BBD"/>
    <w:rsid w:val="00305106"/>
    <w:rsid w:val="00311E27"/>
    <w:rsid w:val="00317CA1"/>
    <w:rsid w:val="00324748"/>
    <w:rsid w:val="00326B25"/>
    <w:rsid w:val="00330344"/>
    <w:rsid w:val="00331D63"/>
    <w:rsid w:val="00332D41"/>
    <w:rsid w:val="00341AE9"/>
    <w:rsid w:val="00344E51"/>
    <w:rsid w:val="00350201"/>
    <w:rsid w:val="00360198"/>
    <w:rsid w:val="00366EF9"/>
    <w:rsid w:val="00371B3D"/>
    <w:rsid w:val="00372B6F"/>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1F3F"/>
    <w:rsid w:val="003D6884"/>
    <w:rsid w:val="003E37B0"/>
    <w:rsid w:val="003E6AF6"/>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2FF1"/>
    <w:rsid w:val="00423B1E"/>
    <w:rsid w:val="004248A8"/>
    <w:rsid w:val="00427169"/>
    <w:rsid w:val="00433E7E"/>
    <w:rsid w:val="00436493"/>
    <w:rsid w:val="004408C2"/>
    <w:rsid w:val="0044328C"/>
    <w:rsid w:val="00445DE7"/>
    <w:rsid w:val="00447BE1"/>
    <w:rsid w:val="00451684"/>
    <w:rsid w:val="00453C3C"/>
    <w:rsid w:val="00455D2F"/>
    <w:rsid w:val="004649C1"/>
    <w:rsid w:val="00473A0F"/>
    <w:rsid w:val="00474ABF"/>
    <w:rsid w:val="004807CF"/>
    <w:rsid w:val="00483E23"/>
    <w:rsid w:val="004867D3"/>
    <w:rsid w:val="004876D0"/>
    <w:rsid w:val="0049478E"/>
    <w:rsid w:val="004956E8"/>
    <w:rsid w:val="0049796E"/>
    <w:rsid w:val="004A2605"/>
    <w:rsid w:val="004A5CDB"/>
    <w:rsid w:val="004A6924"/>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471C6"/>
    <w:rsid w:val="0055062D"/>
    <w:rsid w:val="00554C1D"/>
    <w:rsid w:val="0055698F"/>
    <w:rsid w:val="00556EB3"/>
    <w:rsid w:val="005573CA"/>
    <w:rsid w:val="00560848"/>
    <w:rsid w:val="00561341"/>
    <w:rsid w:val="00561CAF"/>
    <w:rsid w:val="00563171"/>
    <w:rsid w:val="00566C87"/>
    <w:rsid w:val="00570B76"/>
    <w:rsid w:val="005710BC"/>
    <w:rsid w:val="00572D18"/>
    <w:rsid w:val="00575F08"/>
    <w:rsid w:val="00580C7A"/>
    <w:rsid w:val="00586280"/>
    <w:rsid w:val="0058735A"/>
    <w:rsid w:val="005971F6"/>
    <w:rsid w:val="00597566"/>
    <w:rsid w:val="005A1FB5"/>
    <w:rsid w:val="005A2F1D"/>
    <w:rsid w:val="005A664A"/>
    <w:rsid w:val="005B0D54"/>
    <w:rsid w:val="005B1C6B"/>
    <w:rsid w:val="005B2D0E"/>
    <w:rsid w:val="005B4C30"/>
    <w:rsid w:val="005C0260"/>
    <w:rsid w:val="005C1919"/>
    <w:rsid w:val="005C36B5"/>
    <w:rsid w:val="005D0449"/>
    <w:rsid w:val="005D42D9"/>
    <w:rsid w:val="005E06CE"/>
    <w:rsid w:val="005E23D8"/>
    <w:rsid w:val="005E6BC1"/>
    <w:rsid w:val="005F1849"/>
    <w:rsid w:val="005F35AA"/>
    <w:rsid w:val="005F4115"/>
    <w:rsid w:val="005F5EB0"/>
    <w:rsid w:val="005F61C8"/>
    <w:rsid w:val="005F785D"/>
    <w:rsid w:val="0060493D"/>
    <w:rsid w:val="00604B1B"/>
    <w:rsid w:val="0060756B"/>
    <w:rsid w:val="00607D79"/>
    <w:rsid w:val="00611CFD"/>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B3F1C"/>
    <w:rsid w:val="006C0AEF"/>
    <w:rsid w:val="006C341F"/>
    <w:rsid w:val="006D00F3"/>
    <w:rsid w:val="006D1646"/>
    <w:rsid w:val="006D1C81"/>
    <w:rsid w:val="006D2A39"/>
    <w:rsid w:val="006D5C0D"/>
    <w:rsid w:val="006D63EA"/>
    <w:rsid w:val="006D6A1A"/>
    <w:rsid w:val="006D6CD6"/>
    <w:rsid w:val="006E214C"/>
    <w:rsid w:val="006E4BB6"/>
    <w:rsid w:val="006E7E96"/>
    <w:rsid w:val="006F02C8"/>
    <w:rsid w:val="006F15FF"/>
    <w:rsid w:val="00703A0A"/>
    <w:rsid w:val="0070624A"/>
    <w:rsid w:val="00706AFF"/>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129E"/>
    <w:rsid w:val="007524EC"/>
    <w:rsid w:val="0075376F"/>
    <w:rsid w:val="00753C2E"/>
    <w:rsid w:val="00760633"/>
    <w:rsid w:val="0076107E"/>
    <w:rsid w:val="00761593"/>
    <w:rsid w:val="007643A5"/>
    <w:rsid w:val="00764DB1"/>
    <w:rsid w:val="007676EF"/>
    <w:rsid w:val="0077149D"/>
    <w:rsid w:val="0077182C"/>
    <w:rsid w:val="0077434B"/>
    <w:rsid w:val="0078028B"/>
    <w:rsid w:val="007806B0"/>
    <w:rsid w:val="00784B78"/>
    <w:rsid w:val="00785B0C"/>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14F7"/>
    <w:rsid w:val="007D2334"/>
    <w:rsid w:val="007D47B9"/>
    <w:rsid w:val="007D5C5F"/>
    <w:rsid w:val="007D7FCA"/>
    <w:rsid w:val="007E1E0A"/>
    <w:rsid w:val="007E534A"/>
    <w:rsid w:val="007E6881"/>
    <w:rsid w:val="007F1A88"/>
    <w:rsid w:val="007F457C"/>
    <w:rsid w:val="007F468B"/>
    <w:rsid w:val="007F56C6"/>
    <w:rsid w:val="007F6F1B"/>
    <w:rsid w:val="007F7D60"/>
    <w:rsid w:val="00810168"/>
    <w:rsid w:val="00810AD2"/>
    <w:rsid w:val="008122D1"/>
    <w:rsid w:val="0081490A"/>
    <w:rsid w:val="00821FE8"/>
    <w:rsid w:val="0082268D"/>
    <w:rsid w:val="008251B9"/>
    <w:rsid w:val="00827660"/>
    <w:rsid w:val="0083025B"/>
    <w:rsid w:val="008309A7"/>
    <w:rsid w:val="00832344"/>
    <w:rsid w:val="00833033"/>
    <w:rsid w:val="0083397A"/>
    <w:rsid w:val="0084142A"/>
    <w:rsid w:val="008437E9"/>
    <w:rsid w:val="00846F8E"/>
    <w:rsid w:val="008552B1"/>
    <w:rsid w:val="008572E4"/>
    <w:rsid w:val="008608AC"/>
    <w:rsid w:val="00861D56"/>
    <w:rsid w:val="008622A3"/>
    <w:rsid w:val="00862453"/>
    <w:rsid w:val="00862F04"/>
    <w:rsid w:val="00873708"/>
    <w:rsid w:val="00875A63"/>
    <w:rsid w:val="00875B73"/>
    <w:rsid w:val="0087761A"/>
    <w:rsid w:val="00880860"/>
    <w:rsid w:val="00880E37"/>
    <w:rsid w:val="0088203C"/>
    <w:rsid w:val="0088290C"/>
    <w:rsid w:val="00884A9F"/>
    <w:rsid w:val="008877A7"/>
    <w:rsid w:val="00894905"/>
    <w:rsid w:val="00894909"/>
    <w:rsid w:val="008974FB"/>
    <w:rsid w:val="0089786A"/>
    <w:rsid w:val="008A00E5"/>
    <w:rsid w:val="008A21D3"/>
    <w:rsid w:val="008A2EB6"/>
    <w:rsid w:val="008A7319"/>
    <w:rsid w:val="008A761D"/>
    <w:rsid w:val="008B3621"/>
    <w:rsid w:val="008C4E3B"/>
    <w:rsid w:val="008D13DF"/>
    <w:rsid w:val="008D34C5"/>
    <w:rsid w:val="008D3DDE"/>
    <w:rsid w:val="008D5593"/>
    <w:rsid w:val="008E1148"/>
    <w:rsid w:val="008E6A45"/>
    <w:rsid w:val="008E6AD3"/>
    <w:rsid w:val="008F1601"/>
    <w:rsid w:val="008F1E8F"/>
    <w:rsid w:val="008F4246"/>
    <w:rsid w:val="008F4B6B"/>
    <w:rsid w:val="008F56C1"/>
    <w:rsid w:val="008F6072"/>
    <w:rsid w:val="00900488"/>
    <w:rsid w:val="009022FF"/>
    <w:rsid w:val="00906468"/>
    <w:rsid w:val="00907849"/>
    <w:rsid w:val="00907BD6"/>
    <w:rsid w:val="00910DA3"/>
    <w:rsid w:val="00912753"/>
    <w:rsid w:val="009132C8"/>
    <w:rsid w:val="00924F8D"/>
    <w:rsid w:val="00926FF7"/>
    <w:rsid w:val="00927C7E"/>
    <w:rsid w:val="009337BB"/>
    <w:rsid w:val="00934714"/>
    <w:rsid w:val="009371D7"/>
    <w:rsid w:val="00937888"/>
    <w:rsid w:val="00937BB0"/>
    <w:rsid w:val="009417FA"/>
    <w:rsid w:val="00953712"/>
    <w:rsid w:val="00954990"/>
    <w:rsid w:val="00961239"/>
    <w:rsid w:val="00961A3D"/>
    <w:rsid w:val="00967520"/>
    <w:rsid w:val="0097221C"/>
    <w:rsid w:val="00974460"/>
    <w:rsid w:val="009748B3"/>
    <w:rsid w:val="00974C89"/>
    <w:rsid w:val="00975C86"/>
    <w:rsid w:val="00977B69"/>
    <w:rsid w:val="00977EB6"/>
    <w:rsid w:val="00981CB4"/>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A38"/>
    <w:rsid w:val="009E0D10"/>
    <w:rsid w:val="009E4595"/>
    <w:rsid w:val="009E4D63"/>
    <w:rsid w:val="009E655F"/>
    <w:rsid w:val="009F2502"/>
    <w:rsid w:val="009F50EF"/>
    <w:rsid w:val="009F6D0E"/>
    <w:rsid w:val="00A00763"/>
    <w:rsid w:val="00A01FC4"/>
    <w:rsid w:val="00A02A7F"/>
    <w:rsid w:val="00A04F4D"/>
    <w:rsid w:val="00A070E2"/>
    <w:rsid w:val="00A10059"/>
    <w:rsid w:val="00A111BA"/>
    <w:rsid w:val="00A1129F"/>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2D3D"/>
    <w:rsid w:val="00AB3AFF"/>
    <w:rsid w:val="00AB4FFE"/>
    <w:rsid w:val="00AB6016"/>
    <w:rsid w:val="00AC11A9"/>
    <w:rsid w:val="00AC259E"/>
    <w:rsid w:val="00AC30F0"/>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3BB3"/>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76D7F"/>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456C"/>
    <w:rsid w:val="00D651D6"/>
    <w:rsid w:val="00D66832"/>
    <w:rsid w:val="00D6686C"/>
    <w:rsid w:val="00D67A35"/>
    <w:rsid w:val="00D67F26"/>
    <w:rsid w:val="00D7264E"/>
    <w:rsid w:val="00D7295A"/>
    <w:rsid w:val="00D738EB"/>
    <w:rsid w:val="00D75547"/>
    <w:rsid w:val="00D770CF"/>
    <w:rsid w:val="00D81954"/>
    <w:rsid w:val="00D83F3B"/>
    <w:rsid w:val="00D84D2F"/>
    <w:rsid w:val="00D92E8C"/>
    <w:rsid w:val="00D93070"/>
    <w:rsid w:val="00D94C67"/>
    <w:rsid w:val="00DA03CC"/>
    <w:rsid w:val="00DA4D5A"/>
    <w:rsid w:val="00DA7812"/>
    <w:rsid w:val="00DB0FD3"/>
    <w:rsid w:val="00DB1C19"/>
    <w:rsid w:val="00DC496E"/>
    <w:rsid w:val="00DE32B4"/>
    <w:rsid w:val="00DE5F04"/>
    <w:rsid w:val="00DF15BB"/>
    <w:rsid w:val="00DF16B0"/>
    <w:rsid w:val="00DF56F8"/>
    <w:rsid w:val="00DF7458"/>
    <w:rsid w:val="00DF7A9E"/>
    <w:rsid w:val="00DF7B79"/>
    <w:rsid w:val="00E05AFE"/>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44A51"/>
    <w:rsid w:val="00E53753"/>
    <w:rsid w:val="00E549E8"/>
    <w:rsid w:val="00E54E5C"/>
    <w:rsid w:val="00E56EA7"/>
    <w:rsid w:val="00E60DD9"/>
    <w:rsid w:val="00E63197"/>
    <w:rsid w:val="00E64918"/>
    <w:rsid w:val="00E7136D"/>
    <w:rsid w:val="00E74FEB"/>
    <w:rsid w:val="00E76D0B"/>
    <w:rsid w:val="00E77AB5"/>
    <w:rsid w:val="00E92AA8"/>
    <w:rsid w:val="00E96A59"/>
    <w:rsid w:val="00E9716B"/>
    <w:rsid w:val="00E97C36"/>
    <w:rsid w:val="00EA4874"/>
    <w:rsid w:val="00EA6080"/>
    <w:rsid w:val="00EA6B43"/>
    <w:rsid w:val="00EA6B55"/>
    <w:rsid w:val="00EB057B"/>
    <w:rsid w:val="00EB2F33"/>
    <w:rsid w:val="00EC1A56"/>
    <w:rsid w:val="00EC2745"/>
    <w:rsid w:val="00EC7593"/>
    <w:rsid w:val="00EC7DF8"/>
    <w:rsid w:val="00EE2C01"/>
    <w:rsid w:val="00EE3DB0"/>
    <w:rsid w:val="00EE5AD2"/>
    <w:rsid w:val="00EE6186"/>
    <w:rsid w:val="00EE654E"/>
    <w:rsid w:val="00EF15B2"/>
    <w:rsid w:val="00EF5E9A"/>
    <w:rsid w:val="00F02FEA"/>
    <w:rsid w:val="00F03CE8"/>
    <w:rsid w:val="00F06732"/>
    <w:rsid w:val="00F115F6"/>
    <w:rsid w:val="00F1191F"/>
    <w:rsid w:val="00F12BE5"/>
    <w:rsid w:val="00F13312"/>
    <w:rsid w:val="00F1675A"/>
    <w:rsid w:val="00F17917"/>
    <w:rsid w:val="00F17C3F"/>
    <w:rsid w:val="00F20054"/>
    <w:rsid w:val="00F2263F"/>
    <w:rsid w:val="00F22D54"/>
    <w:rsid w:val="00F22F62"/>
    <w:rsid w:val="00F24E0E"/>
    <w:rsid w:val="00F27209"/>
    <w:rsid w:val="00F33B46"/>
    <w:rsid w:val="00F40BFE"/>
    <w:rsid w:val="00F43B5A"/>
    <w:rsid w:val="00F51A66"/>
    <w:rsid w:val="00F57B0C"/>
    <w:rsid w:val="00F6268F"/>
    <w:rsid w:val="00F759EA"/>
    <w:rsid w:val="00F77582"/>
    <w:rsid w:val="00F817C4"/>
    <w:rsid w:val="00F83C5B"/>
    <w:rsid w:val="00F840D8"/>
    <w:rsid w:val="00F870DB"/>
    <w:rsid w:val="00F91237"/>
    <w:rsid w:val="00F92202"/>
    <w:rsid w:val="00F94033"/>
    <w:rsid w:val="00F973CD"/>
    <w:rsid w:val="00F97E41"/>
    <w:rsid w:val="00FA1AA1"/>
    <w:rsid w:val="00FA4A2A"/>
    <w:rsid w:val="00FA6FE1"/>
    <w:rsid w:val="00FC0E2B"/>
    <w:rsid w:val="00FC0F86"/>
    <w:rsid w:val="00FC1556"/>
    <w:rsid w:val="00FC20B6"/>
    <w:rsid w:val="00FC4460"/>
    <w:rsid w:val="00FD04BC"/>
    <w:rsid w:val="00FD69D0"/>
    <w:rsid w:val="00FE156B"/>
    <w:rsid w:val="00FE7818"/>
    <w:rsid w:val="00FF0E63"/>
    <w:rsid w:val="00FF26F0"/>
    <w:rsid w:val="00FF43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inkedin.com/in/eric-b-a7722521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2115</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2026-04-03T17:39:00Z</dcterms:created>
  <dcterms:modified xsi:type="dcterms:W3CDTF">2026-04-03T17:39:00Z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