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8C9B" w14:textId="06F3490F" w:rsidR="00810168" w:rsidRPr="00A6135D" w:rsidRDefault="00A01361" w:rsidP="00D6456C">
      <w:pPr>
        <w:ind w:right="-567"/>
        <w:rPr>
          <w:rFonts w:ascii="Calibri" w:hAnsi="Calibri" w:cs="Calibri"/>
          <w:b/>
          <w:bCs/>
          <w:i/>
          <w:iCs/>
        </w:rPr>
      </w:pPr>
      <w:bookmarkStart w:id="0" w:name="_Hlk201852803"/>
      <w:bookmarkStart w:id="1" w:name="_Hlk218154789"/>
      <w:bookmarkStart w:id="2" w:name="_Hlk150935450"/>
      <w:bookmarkStart w:id="3" w:name="_Hlk495302387"/>
      <w:r w:rsidRPr="003B0D88">
        <w:rPr>
          <w:rFonts w:eastAsia="Times New Roman" w:cstheme="minorHAnsi"/>
          <w:b/>
          <w:bCs/>
          <w:lang w:eastAsia="nl-BE"/>
        </w:rPr>
        <w:t>Is de gezinswoning van een zelfstandige beschermd tegen beslag voor schulden in de personenbelasting?</w:t>
      </w:r>
      <w:r>
        <w:rPr>
          <w:rFonts w:ascii="Verdana" w:eastAsia="Times New Roman" w:hAnsi="Verdana" w:cs="Helvetica"/>
          <w:i/>
          <w:iCs/>
          <w:sz w:val="20"/>
          <w:szCs w:val="20"/>
          <w:lang w:eastAsia="nl-BE"/>
        </w:rPr>
        <w:t xml:space="preserve"> </w:t>
      </w:r>
      <w:proofErr w:type="spellStart"/>
      <w:r w:rsidR="001B6562">
        <w:rPr>
          <w:rFonts w:ascii="Calibri" w:eastAsia="Times New Roman" w:hAnsi="Calibri" w:cs="Calibri"/>
          <w:b/>
          <w:bCs/>
          <w:color w:val="000000"/>
          <w:lang w:eastAsia="nl-BE"/>
        </w:rPr>
        <w:t>Cass</w:t>
      </w:r>
      <w:proofErr w:type="spellEnd"/>
      <w:r w:rsidR="001B6562">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19</w:t>
      </w:r>
      <w:r w:rsidR="00DA03CC">
        <w:rPr>
          <w:rFonts w:ascii="Calibri" w:eastAsia="Times New Roman" w:hAnsi="Calibri" w:cs="Calibri"/>
          <w:b/>
          <w:bCs/>
          <w:color w:val="000000"/>
          <w:lang w:eastAsia="nl-BE"/>
        </w:rPr>
        <w:t xml:space="preserve"> maart</w:t>
      </w:r>
      <w:r w:rsidR="008F4B6B">
        <w:rPr>
          <w:rFonts w:ascii="Calibri" w:eastAsia="Times New Roman" w:hAnsi="Calibri" w:cs="Calibri"/>
          <w:b/>
          <w:bCs/>
          <w:color w:val="000000"/>
          <w:lang w:eastAsia="nl-BE"/>
        </w:rPr>
        <w:t xml:space="preserve"> 202</w:t>
      </w:r>
      <w:r w:rsidR="00DA03CC">
        <w:rPr>
          <w:rFonts w:ascii="Calibri" w:eastAsia="Times New Roman" w:hAnsi="Calibri" w:cs="Calibri"/>
          <w:b/>
          <w:bCs/>
          <w:color w:val="000000"/>
          <w:lang w:eastAsia="nl-BE"/>
        </w:rPr>
        <w:t>6</w:t>
      </w:r>
      <w:bookmarkEnd w:id="0"/>
      <w:r w:rsidR="001A7631">
        <w:rPr>
          <w:rFonts w:ascii="Calibri" w:eastAsia="Times New Roman" w:hAnsi="Calibri" w:cs="Calibri"/>
          <w:b/>
          <w:bCs/>
          <w:color w:val="000000"/>
          <w:lang w:eastAsia="nl-BE"/>
        </w:rPr>
        <w:t xml:space="preserve"> </w:t>
      </w:r>
      <w:r w:rsidR="00B446D3">
        <w:rPr>
          <w:rFonts w:cstheme="minorHAnsi"/>
          <w:b/>
          <w:bCs/>
        </w:rPr>
        <w:t>(</w:t>
      </w:r>
      <w:r w:rsidR="00372B6F">
        <w:rPr>
          <w:rFonts w:cstheme="minorHAnsi"/>
          <w:b/>
          <w:bCs/>
        </w:rPr>
        <w:t>Eric B.</w:t>
      </w:r>
      <w:r w:rsidR="00B446D3">
        <w:rPr>
          <w:rFonts w:cstheme="minorHAnsi"/>
          <w:b/>
          <w:bCs/>
        </w:rPr>
        <w:t>)</w:t>
      </w:r>
      <w:bookmarkEnd w:id="1"/>
      <w:r w:rsidR="0053563E" w:rsidRPr="0053563E">
        <w:rPr>
          <w:rFonts w:ascii="Times New Roman" w:eastAsia="Times New Roman" w:hAnsi="Times New Roman" w:cs="Times New Roman"/>
          <w:sz w:val="24"/>
          <w:szCs w:val="24"/>
          <w:lang w:eastAsia="nl-BE"/>
        </w:rPr>
        <w:t xml:space="preserve"> </w:t>
      </w:r>
      <w:r w:rsidR="000A65DD">
        <w:rPr>
          <w:rFonts w:ascii="Times New Roman" w:eastAsia="Times New Roman" w:hAnsi="Times New Roman" w:cs="Times New Roman"/>
          <w:sz w:val="24"/>
          <w:szCs w:val="24"/>
          <w:lang w:eastAsia="nl-BE"/>
        </w:rPr>
        <w:br/>
      </w:r>
      <w:r w:rsidR="00BB4DC4">
        <w:rPr>
          <w:rFonts w:cstheme="minorHAnsi"/>
          <w:b/>
          <w:bCs/>
        </w:rPr>
        <w:br/>
      </w:r>
      <w:r w:rsidR="00810168" w:rsidRPr="00A6135D">
        <w:rPr>
          <w:rFonts w:ascii="Calibri" w:hAnsi="Calibri" w:cs="Calibri"/>
          <w:b/>
          <w:bCs/>
          <w:i/>
          <w:iCs/>
        </w:rPr>
        <w:t xml:space="preserve">Samenvatting </w:t>
      </w:r>
      <w:r w:rsidR="00810168">
        <w:rPr>
          <w:rFonts w:ascii="Calibri" w:hAnsi="Calibri" w:cs="Calibri"/>
          <w:b/>
          <w:bCs/>
          <w:i/>
          <w:iCs/>
        </w:rPr>
        <w:t xml:space="preserve">gemaakt met behulp van </w:t>
      </w:r>
      <w:r w:rsidR="00810168" w:rsidRPr="00A6135D">
        <w:rPr>
          <w:rFonts w:ascii="Calibri" w:hAnsi="Calibri" w:cs="Calibri"/>
          <w:b/>
          <w:bCs/>
          <w:i/>
          <w:iCs/>
        </w:rPr>
        <w:t>AI</w:t>
      </w:r>
    </w:p>
    <w:p w14:paraId="76759027" w14:textId="09B6A4EC" w:rsidR="003B0D88" w:rsidRDefault="00372B6F" w:rsidP="003B0D88">
      <w:pPr>
        <w:spacing w:after="120"/>
        <w:ind w:right="-284"/>
        <w:rPr>
          <w:rFonts w:cstheme="minorHAnsi"/>
        </w:rPr>
      </w:pPr>
      <w:r>
        <w:rPr>
          <w:rFonts w:cstheme="minorHAnsi"/>
          <w:b/>
          <w:bCs/>
        </w:rPr>
        <w:t>Feiten</w:t>
      </w:r>
      <w:r w:rsidR="003B0D88">
        <w:rPr>
          <w:rFonts w:cstheme="minorHAnsi"/>
          <w:b/>
          <w:bCs/>
        </w:rPr>
        <w:br/>
      </w:r>
      <w:r w:rsidR="001B6562">
        <w:rPr>
          <w:rFonts w:cstheme="minorHAnsi"/>
          <w:b/>
          <w:bCs/>
        </w:rPr>
        <w:br/>
      </w:r>
      <w:r w:rsidR="003B0D88" w:rsidRPr="003B0D88">
        <w:rPr>
          <w:rFonts w:cstheme="minorHAnsi"/>
        </w:rPr>
        <w:t xml:space="preserve">Een zelfstandige had een wettelijke verklaring van </w:t>
      </w:r>
      <w:proofErr w:type="spellStart"/>
      <w:r w:rsidR="003B0D88" w:rsidRPr="003B0D88">
        <w:rPr>
          <w:rFonts w:cstheme="minorHAnsi"/>
        </w:rPr>
        <w:t>onbeslagbaarheid</w:t>
      </w:r>
      <w:proofErr w:type="spellEnd"/>
      <w:r w:rsidR="003B0D88" w:rsidRPr="003B0D88">
        <w:rPr>
          <w:rFonts w:cstheme="minorHAnsi"/>
        </w:rPr>
        <w:t xml:space="preserve"> afgelegd om haar gezinswoning te beschermen. Later werd zij echter failliet verklaard door de rechtbank. Er ontstond vervolgens een juridisch geschil met de curator van het faillissement. De kernvraag van de betwisting was of de </w:t>
      </w:r>
      <w:proofErr w:type="spellStart"/>
      <w:r w:rsidR="003B0D88" w:rsidRPr="003B0D88">
        <w:rPr>
          <w:rFonts w:cstheme="minorHAnsi"/>
        </w:rPr>
        <w:t>onbeslagbaarheid</w:t>
      </w:r>
      <w:proofErr w:type="spellEnd"/>
      <w:r w:rsidR="003B0D88" w:rsidRPr="003B0D88">
        <w:rPr>
          <w:rFonts w:cstheme="minorHAnsi"/>
        </w:rPr>
        <w:t xml:space="preserve"> van de woning ook kan worden ingeroepen tegen openstaande fiscale schulden in de personenbelasting.</w:t>
      </w:r>
    </w:p>
    <w:p w14:paraId="0439F239" w14:textId="7B98CB22" w:rsidR="008F4B6B" w:rsidRPr="00EE2C01" w:rsidRDefault="00372B6F" w:rsidP="003B0D88">
      <w:pPr>
        <w:spacing w:after="120"/>
        <w:ind w:right="-284"/>
        <w:rPr>
          <w:rFonts w:cstheme="minorHAnsi"/>
        </w:rPr>
      </w:pPr>
      <w:r>
        <w:rPr>
          <w:rFonts w:cstheme="minorHAnsi"/>
          <w:b/>
          <w:bCs/>
        </w:rPr>
        <w:t>Verweermiddelen</w:t>
      </w:r>
      <w:r w:rsidR="003B0D88">
        <w:rPr>
          <w:rFonts w:cstheme="minorHAnsi"/>
          <w:b/>
          <w:bCs/>
        </w:rPr>
        <w:br/>
      </w:r>
      <w:r w:rsidR="007F457C">
        <w:rPr>
          <w:rFonts w:cstheme="minorHAnsi"/>
          <w:b/>
          <w:bCs/>
        </w:rPr>
        <w:br/>
      </w:r>
      <w:r w:rsidR="003B0D88" w:rsidRPr="003B0D88">
        <w:rPr>
          <w:rFonts w:cstheme="minorHAnsi"/>
        </w:rPr>
        <w:t>De zelfstandige (eiseres) stapte naar het Hof van Cassatie en voerde aan dat men steeds concreet moet nakijken waarop de personenbelasting precies betrekking heeft.  Zij stelde dat indien de personenbelasting louter en alleen berekend is op beroepsinkomsten, deze belasting geen 'gemengde schuld' is. Daarom zou haar gezinswoning volgens deze redenering te allen tijde beschermd moeten blijven tegen beslag door de fiscus.</w:t>
      </w:r>
    </w:p>
    <w:p w14:paraId="6CE2F14B" w14:textId="1846D530" w:rsidR="008F4B6B" w:rsidRPr="00EA6B55" w:rsidRDefault="00372B6F" w:rsidP="002C16D3">
      <w:pPr>
        <w:spacing w:after="120" w:line="240" w:lineRule="auto"/>
        <w:ind w:right="-284"/>
        <w:rPr>
          <w:rFonts w:cstheme="minorHAnsi"/>
        </w:rPr>
      </w:pPr>
      <w:r>
        <w:rPr>
          <w:rFonts w:cstheme="minorHAnsi"/>
          <w:b/>
          <w:bCs/>
        </w:rPr>
        <w:t>Principes</w:t>
      </w:r>
      <w:r w:rsidR="007F457C">
        <w:rPr>
          <w:rFonts w:cstheme="minorHAnsi"/>
          <w:b/>
          <w:bCs/>
        </w:rPr>
        <w:br/>
      </w:r>
      <w:r w:rsidR="007F457C">
        <w:rPr>
          <w:rFonts w:cstheme="minorHAnsi"/>
          <w:b/>
          <w:bCs/>
        </w:rPr>
        <w:br/>
      </w:r>
      <w:r w:rsidR="003B0D88" w:rsidRPr="003B0D88">
        <w:rPr>
          <w:rFonts w:cstheme="minorHAnsi"/>
        </w:rPr>
        <w:t xml:space="preserve">Het Hof van Cassatie herinnert eraan dat een verklaring van </w:t>
      </w:r>
      <w:proofErr w:type="spellStart"/>
      <w:r w:rsidR="003B0D88" w:rsidRPr="003B0D88">
        <w:rPr>
          <w:rFonts w:cstheme="minorHAnsi"/>
        </w:rPr>
        <w:t>onbeslagbaarheid</w:t>
      </w:r>
      <w:proofErr w:type="spellEnd"/>
      <w:r w:rsidR="003B0D88" w:rsidRPr="003B0D88">
        <w:rPr>
          <w:rFonts w:cstheme="minorHAnsi"/>
        </w:rPr>
        <w:t xml:space="preserve"> geen enkele uitwerking heeft ten aanzien van schulden van "gemengde aard". Dit zijn schulden die verband houden met zowel het privéleven als met de beroepsbezigheid. Het Hof stelt duidelijk dat fiscale schulden in de personenbelasting per definitie van deze gemengde aard zijn. Het feit dat de personenbelasting in een specifiek en concreet geval uitsluitend op beroepsinkomsten is gevestigd, maakt voor deze juridische beoordeling absoluut geen verschil.</w:t>
      </w:r>
    </w:p>
    <w:p w14:paraId="709441A6" w14:textId="15DFF9A6" w:rsidR="008F4B6B" w:rsidRDefault="00372B6F" w:rsidP="002C16D3">
      <w:pPr>
        <w:spacing w:after="120" w:line="240" w:lineRule="auto"/>
        <w:ind w:right="-284"/>
        <w:rPr>
          <w:rFonts w:cstheme="minorHAnsi"/>
          <w:b/>
          <w:bCs/>
        </w:rPr>
      </w:pPr>
      <w:r>
        <w:rPr>
          <w:rFonts w:cstheme="minorHAnsi"/>
          <w:b/>
          <w:bCs/>
        </w:rPr>
        <w:t>Besluit</w:t>
      </w:r>
      <w:r w:rsidR="003B0D88">
        <w:rPr>
          <w:rFonts w:cstheme="minorHAnsi"/>
          <w:b/>
          <w:bCs/>
        </w:rPr>
        <w:br/>
      </w:r>
      <w:r w:rsidR="003B0D88">
        <w:rPr>
          <w:rFonts w:cstheme="minorHAnsi"/>
          <w:b/>
          <w:bCs/>
        </w:rPr>
        <w:br/>
      </w:r>
      <w:r w:rsidR="003B0D88" w:rsidRPr="003B0D88">
        <w:rPr>
          <w:rFonts w:cstheme="minorHAnsi"/>
        </w:rPr>
        <w:t>Het Hof van Cassatie verwerpt het cassatieberoep van de eiseres. Het argument dat er telkens een feitelijk onderzoek moet gebeuren naar de precieze aard van de inkomsten waarop de belasting is gebaseerd, faalt naar recht. De eiseres wordt bovendien veroordeeld tot het betalen van de gerechtskosten ten bedrage van 426,90 euro. Haar gezinswoning is in dit geval dus niet beschermd tegen beslag voor de schulden in de personenbelasting.</w:t>
      </w:r>
    </w:p>
    <w:bookmarkEnd w:id="2"/>
    <w:bookmarkEnd w:id="3"/>
    <w:p w14:paraId="7A825174" w14:textId="314F42B0" w:rsidR="003B0D88" w:rsidRDefault="003B0D88" w:rsidP="00F2263F">
      <w:pPr>
        <w:ind w:right="-284"/>
      </w:pPr>
      <w:r>
        <w:fldChar w:fldCharType="begin"/>
      </w:r>
      <w:r>
        <w:instrText>HYPERLINK "https://juportal.be/content/ECLI:BE:CASS:2026:ARR.20260319.1N.7/NL"</w:instrText>
      </w:r>
      <w:r>
        <w:fldChar w:fldCharType="separate"/>
      </w:r>
      <w:r>
        <w:rPr>
          <w:rStyle w:val="Hyperlink"/>
        </w:rPr>
        <w:t xml:space="preserve">Lees het arrest </w:t>
      </w:r>
      <w:r>
        <w:fldChar w:fldCharType="end"/>
      </w:r>
    </w:p>
    <w:p w14:paraId="305D8E43" w14:textId="29CC96EB" w:rsidR="00372B6F" w:rsidRPr="00F973CD" w:rsidRDefault="00372B6F" w:rsidP="00F2263F">
      <w:pPr>
        <w:ind w:right="-284"/>
        <w:rPr>
          <w:rFonts w:ascii="Calibri" w:hAnsi="Calibri" w:cs="Calibri"/>
        </w:rPr>
      </w:pPr>
      <w:hyperlink r:id="rId7" w:history="1">
        <w:r w:rsidRPr="00F973CD">
          <w:rPr>
            <w:rStyle w:val="Hyperlink"/>
            <w:rFonts w:ascii="Calibri" w:hAnsi="Calibri" w:cs="Calibri"/>
          </w:rPr>
          <w:t>Eric B.</w:t>
        </w:r>
      </w:hyperlink>
      <w:r w:rsidRPr="00F973CD">
        <w:rPr>
          <w:rFonts w:ascii="Calibri" w:hAnsi="Calibri" w:cs="Calibri"/>
        </w:rPr>
        <w:t xml:space="preserve"> </w:t>
      </w:r>
    </w:p>
    <w:p w14:paraId="21E4079C" w14:textId="77777777" w:rsidR="0075129E" w:rsidRPr="00F973CD" w:rsidRDefault="0075129E" w:rsidP="00F2263F">
      <w:pPr>
        <w:ind w:right="-284"/>
        <w:rPr>
          <w:rFonts w:cstheme="minorHAnsi"/>
        </w:rPr>
      </w:pPr>
    </w:p>
    <w:sectPr w:rsidR="0075129E" w:rsidRPr="00F973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154D" w14:textId="77777777" w:rsidR="00B8239D" w:rsidRDefault="00B8239D" w:rsidP="00C4373D">
      <w:pPr>
        <w:spacing w:after="0" w:line="240" w:lineRule="auto"/>
      </w:pPr>
      <w:r>
        <w:separator/>
      </w:r>
    </w:p>
  </w:endnote>
  <w:endnote w:type="continuationSeparator" w:id="0">
    <w:p w14:paraId="78490348" w14:textId="77777777" w:rsidR="00B8239D" w:rsidRDefault="00B8239D"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75DE" w14:textId="77777777" w:rsidR="00B8239D" w:rsidRDefault="00B8239D" w:rsidP="00C4373D">
      <w:pPr>
        <w:spacing w:after="0" w:line="240" w:lineRule="auto"/>
      </w:pPr>
      <w:r>
        <w:separator/>
      </w:r>
    </w:p>
  </w:footnote>
  <w:footnote w:type="continuationSeparator" w:id="0">
    <w:p w14:paraId="20D00658" w14:textId="77777777" w:rsidR="00B8239D" w:rsidRDefault="00B8239D"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D88"/>
    <w:rsid w:val="003B0FAF"/>
    <w:rsid w:val="003B21D9"/>
    <w:rsid w:val="003B5070"/>
    <w:rsid w:val="003C1C82"/>
    <w:rsid w:val="003C5D14"/>
    <w:rsid w:val="003D1F3F"/>
    <w:rsid w:val="003D6884"/>
    <w:rsid w:val="003E37B0"/>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27169"/>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56E8"/>
    <w:rsid w:val="0049796E"/>
    <w:rsid w:val="004A2605"/>
    <w:rsid w:val="004A29BA"/>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490A"/>
    <w:rsid w:val="00821FE8"/>
    <w:rsid w:val="0082268D"/>
    <w:rsid w:val="008251B9"/>
    <w:rsid w:val="00827660"/>
    <w:rsid w:val="0083025B"/>
    <w:rsid w:val="008309A7"/>
    <w:rsid w:val="00832344"/>
    <w:rsid w:val="00833033"/>
    <w:rsid w:val="0083397A"/>
    <w:rsid w:val="0084142A"/>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24F8D"/>
    <w:rsid w:val="00926FF7"/>
    <w:rsid w:val="00927C7E"/>
    <w:rsid w:val="009337BB"/>
    <w:rsid w:val="00934714"/>
    <w:rsid w:val="009371D7"/>
    <w:rsid w:val="00937888"/>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361"/>
    <w:rsid w:val="00A01FC4"/>
    <w:rsid w:val="00A02A7F"/>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39D"/>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inkedin.com/in/eric-b-a7722521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1857</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2026-04-10T08:51:00Z</dcterms:created>
  <dcterms:modified xsi:type="dcterms:W3CDTF">2026-04-10T08:51:00Z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