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C9B" w14:textId="7C2D6844" w:rsidR="00810168" w:rsidRPr="00A6135D" w:rsidRDefault="00BE6373" w:rsidP="00D6456C">
      <w:pPr>
        <w:ind w:right="-567"/>
        <w:rPr>
          <w:rFonts w:ascii="Calibri" w:hAnsi="Calibri" w:cs="Calibri"/>
          <w:b/>
          <w:bCs/>
          <w:i/>
          <w:iCs/>
        </w:rPr>
      </w:pPr>
      <w:bookmarkStart w:id="0" w:name="_Hlk201852803"/>
      <w:bookmarkStart w:id="1" w:name="_Hlk218154789"/>
      <w:bookmarkStart w:id="2" w:name="_Hlk150935450"/>
      <w:bookmarkStart w:id="3" w:name="_Hlk495302387"/>
      <w:r>
        <w:rPr>
          <w:rFonts w:eastAsia="Times New Roman" w:cstheme="minorHAnsi"/>
          <w:b/>
          <w:bCs/>
          <w:lang w:eastAsia="nl-BE"/>
        </w:rPr>
        <w:t>Mag een rechter die in kort geding oordeelde, later ook ten gronde uitspraak doen over dezelfde zaak</w:t>
      </w:r>
      <w:r w:rsidR="00A01361" w:rsidRPr="003B0D88">
        <w:rPr>
          <w:rFonts w:eastAsia="Times New Roman" w:cstheme="minorHAnsi"/>
          <w:b/>
          <w:bCs/>
          <w:lang w:eastAsia="nl-BE"/>
        </w:rPr>
        <w:t>?</w:t>
      </w:r>
      <w:r w:rsidR="00A01361">
        <w:rPr>
          <w:rFonts w:ascii="Verdana" w:eastAsia="Times New Roman" w:hAnsi="Verdana" w:cs="Helvetica"/>
          <w:i/>
          <w:iCs/>
          <w:sz w:val="20"/>
          <w:szCs w:val="20"/>
          <w:lang w:eastAsia="nl-BE"/>
        </w:rPr>
        <w:t xml:space="preserve"> </w:t>
      </w:r>
      <w:proofErr w:type="spellStart"/>
      <w:r w:rsidR="001B6562">
        <w:rPr>
          <w:rFonts w:ascii="Calibri" w:eastAsia="Times New Roman" w:hAnsi="Calibri" w:cs="Calibri"/>
          <w:b/>
          <w:bCs/>
          <w:color w:val="000000"/>
          <w:lang w:eastAsia="nl-BE"/>
        </w:rPr>
        <w:t>Cass</w:t>
      </w:r>
      <w:proofErr w:type="spellEnd"/>
      <w:r w:rsidR="001B6562">
        <w:rPr>
          <w:rFonts w:ascii="Calibri" w:eastAsia="Times New Roman" w:hAnsi="Calibri" w:cs="Calibri"/>
          <w:b/>
          <w:bCs/>
          <w:color w:val="000000"/>
          <w:lang w:eastAsia="nl-BE"/>
        </w:rPr>
        <w:t xml:space="preserve">. </w:t>
      </w:r>
      <w:r w:rsidR="00A01361">
        <w:rPr>
          <w:rFonts w:ascii="Calibri" w:eastAsia="Times New Roman" w:hAnsi="Calibri" w:cs="Calibri"/>
          <w:b/>
          <w:bCs/>
          <w:color w:val="000000"/>
          <w:lang w:eastAsia="nl-BE"/>
        </w:rPr>
        <w:t>19</w:t>
      </w:r>
      <w:r w:rsidR="00DA03CC">
        <w:rPr>
          <w:rFonts w:ascii="Calibri" w:eastAsia="Times New Roman" w:hAnsi="Calibri" w:cs="Calibri"/>
          <w:b/>
          <w:bCs/>
          <w:color w:val="000000"/>
          <w:lang w:eastAsia="nl-BE"/>
        </w:rPr>
        <w:t xml:space="preserve"> maart</w:t>
      </w:r>
      <w:r w:rsidR="008F4B6B">
        <w:rPr>
          <w:rFonts w:ascii="Calibri" w:eastAsia="Times New Roman" w:hAnsi="Calibri" w:cs="Calibri"/>
          <w:b/>
          <w:bCs/>
          <w:color w:val="000000"/>
          <w:lang w:eastAsia="nl-BE"/>
        </w:rPr>
        <w:t xml:space="preserve"> 202</w:t>
      </w:r>
      <w:r w:rsidR="00DA03CC">
        <w:rPr>
          <w:rFonts w:ascii="Calibri" w:eastAsia="Times New Roman" w:hAnsi="Calibri" w:cs="Calibri"/>
          <w:b/>
          <w:bCs/>
          <w:color w:val="000000"/>
          <w:lang w:eastAsia="nl-BE"/>
        </w:rPr>
        <w:t>6</w:t>
      </w:r>
      <w:bookmarkEnd w:id="0"/>
      <w:r w:rsidR="001A7631">
        <w:rPr>
          <w:rFonts w:ascii="Calibri" w:eastAsia="Times New Roman" w:hAnsi="Calibri" w:cs="Calibr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76759027" w14:textId="10988845" w:rsidR="003B0D88" w:rsidRDefault="00372B6F" w:rsidP="003B0D88">
      <w:pPr>
        <w:spacing w:after="120"/>
        <w:ind w:right="-284"/>
        <w:rPr>
          <w:rFonts w:cstheme="minorHAnsi"/>
        </w:rPr>
      </w:pPr>
      <w:r>
        <w:rPr>
          <w:rFonts w:cstheme="minorHAnsi"/>
          <w:b/>
          <w:bCs/>
        </w:rPr>
        <w:t>Feiten</w:t>
      </w:r>
      <w:r w:rsidR="003B0D88">
        <w:rPr>
          <w:rFonts w:cstheme="minorHAnsi"/>
          <w:b/>
          <w:bCs/>
        </w:rPr>
        <w:br/>
      </w:r>
      <w:r w:rsidR="001B6562">
        <w:rPr>
          <w:rFonts w:cstheme="minorHAnsi"/>
          <w:b/>
          <w:bCs/>
        </w:rPr>
        <w:br/>
      </w:r>
      <w:r w:rsidR="00D24F66" w:rsidRPr="00D24F66">
        <w:rPr>
          <w:rFonts w:cstheme="minorHAnsi"/>
        </w:rPr>
        <w:t>Een erkende hersteller vorderde in kort geding én ten gronde dat een auto-invoerder verplicht werd een nieuw contract met hem te sluiten. In kort geding oordeelde de bevoegde rechter (</w:t>
      </w:r>
      <w:proofErr w:type="spellStart"/>
      <w:r w:rsidR="00D24F66" w:rsidRPr="00D24F66">
        <w:rPr>
          <w:rFonts w:cstheme="minorHAnsi"/>
        </w:rPr>
        <w:t>kamervoorzitter</w:t>
      </w:r>
      <w:proofErr w:type="spellEnd"/>
      <w:r w:rsidR="00D24F66" w:rsidRPr="00D24F66">
        <w:rPr>
          <w:rFonts w:cstheme="minorHAnsi"/>
        </w:rPr>
        <w:t xml:space="preserve">) in het voordeel van de hersteller. De rechter ten gronde wees de vordering nadien echter af. De hersteller tekende hiertegen hoger beroep aan. Dit hoger beroep ten gronde kwam toevallig terecht bij exact dezelfde </w:t>
      </w:r>
      <w:proofErr w:type="spellStart"/>
      <w:r w:rsidR="00D24F66" w:rsidRPr="00D24F66">
        <w:rPr>
          <w:rFonts w:cstheme="minorHAnsi"/>
        </w:rPr>
        <w:t>kamervoorzitter</w:t>
      </w:r>
      <w:proofErr w:type="spellEnd"/>
      <w:r w:rsidR="00D24F66" w:rsidRPr="00D24F66">
        <w:rPr>
          <w:rFonts w:cstheme="minorHAnsi"/>
        </w:rPr>
        <w:t xml:space="preserve"> die eerder de uitspraak in het kort geding had gedaan.</w:t>
      </w:r>
    </w:p>
    <w:p w14:paraId="0439F239" w14:textId="07C6F694" w:rsidR="008F4B6B" w:rsidRPr="00D24F66" w:rsidRDefault="00372B6F" w:rsidP="003B0D88">
      <w:pPr>
        <w:spacing w:after="120"/>
        <w:ind w:right="-284"/>
        <w:rPr>
          <w:rFonts w:cstheme="minorHAnsi"/>
        </w:rPr>
      </w:pPr>
      <w:r>
        <w:rPr>
          <w:rFonts w:cstheme="minorHAnsi"/>
          <w:b/>
          <w:bCs/>
        </w:rPr>
        <w:t>Verweermiddelen</w:t>
      </w:r>
      <w:r w:rsidR="003E380C">
        <w:rPr>
          <w:rFonts w:cstheme="minorHAnsi"/>
          <w:b/>
          <w:bCs/>
        </w:rPr>
        <w:br/>
      </w:r>
      <w:r w:rsidR="003B0D88">
        <w:rPr>
          <w:rFonts w:cstheme="minorHAnsi"/>
          <w:b/>
          <w:bCs/>
        </w:rPr>
        <w:br/>
      </w:r>
      <w:r w:rsidR="00D24F66" w:rsidRPr="00D24F66">
        <w:rPr>
          <w:rFonts w:cstheme="minorHAnsi"/>
        </w:rPr>
        <w:t>De invoerder (</w:t>
      </w:r>
      <w:proofErr w:type="spellStart"/>
      <w:r w:rsidR="00D24F66" w:rsidRPr="00D24F66">
        <w:rPr>
          <w:rFonts w:cstheme="minorHAnsi"/>
        </w:rPr>
        <w:t>Stellantis</w:t>
      </w:r>
      <w:proofErr w:type="spellEnd"/>
      <w:r w:rsidR="00D24F66" w:rsidRPr="00D24F66">
        <w:rPr>
          <w:rFonts w:cstheme="minorHAnsi"/>
        </w:rPr>
        <w:t xml:space="preserve">) diende een verzoek tot wraking in tegen de </w:t>
      </w:r>
      <w:proofErr w:type="spellStart"/>
      <w:r w:rsidR="00D24F66" w:rsidRPr="00D24F66">
        <w:rPr>
          <w:rFonts w:cstheme="minorHAnsi"/>
        </w:rPr>
        <w:t>kamervoorzitter</w:t>
      </w:r>
      <w:proofErr w:type="spellEnd"/>
      <w:r w:rsidR="00D24F66" w:rsidRPr="00D24F66">
        <w:rPr>
          <w:rFonts w:cstheme="minorHAnsi"/>
        </w:rPr>
        <w:t>. Volgens de invoerder kon deze magistraat niet meer onafhankelijk en onpartijdig oordelen. Zij had zich in het kort geding immers al vergaand uitgesproken over de grond van de zaak, onder meer door te stellen dat de invoerder "betwistbare motieven" hanteerde en niet te goeder trouw handelde. Hierdoor zou haar rechterlijke vrijheid om in de procedure ten gronde nog onbevangen te oordelen, minstens ogenschijnlijk in het gedrang zijn</w:t>
      </w:r>
      <w:r w:rsidR="003E380C">
        <w:rPr>
          <w:rFonts w:cstheme="minorHAnsi"/>
        </w:rPr>
        <w:t>.</w:t>
      </w:r>
    </w:p>
    <w:p w14:paraId="6CE2F14B" w14:textId="579F549F" w:rsidR="008F4B6B" w:rsidRPr="00EA6B55" w:rsidRDefault="00372B6F" w:rsidP="002C16D3">
      <w:pPr>
        <w:spacing w:after="120" w:line="240" w:lineRule="auto"/>
        <w:ind w:right="-284"/>
        <w:rPr>
          <w:rFonts w:cstheme="minorHAnsi"/>
        </w:rPr>
      </w:pPr>
      <w:r>
        <w:rPr>
          <w:rFonts w:cstheme="minorHAnsi"/>
          <w:b/>
          <w:bCs/>
        </w:rPr>
        <w:t>Principes</w:t>
      </w:r>
      <w:r w:rsidR="007F457C">
        <w:rPr>
          <w:rFonts w:cstheme="minorHAnsi"/>
          <w:b/>
          <w:bCs/>
        </w:rPr>
        <w:br/>
      </w:r>
      <w:r w:rsidR="007F457C">
        <w:rPr>
          <w:rFonts w:cstheme="minorHAnsi"/>
          <w:b/>
          <w:bCs/>
        </w:rPr>
        <w:br/>
      </w:r>
      <w:r w:rsidR="003E380C" w:rsidRPr="003E380C">
        <w:rPr>
          <w:rFonts w:cstheme="minorHAnsi"/>
        </w:rPr>
        <w:t>Het Hof van Cassatie bevestigt dat een rechter die in kort geding zetelde, niet automatisch is uitgesloten om later ten gronde te oordelen over hetzelfde geschil. Dit wordt echter wél een probleem wanneer de rechter zich in het kort geding al een definitief oordeel heeft gevormd over de effectieve geschilpunten waarover hij of zij ten gronde moet beslissen. Dat een oordeel in kort geding slechts "prima facie" (op het eerste gezicht) is, maakt in zo'n geval niet uit. Zodra de rechter zich te diepgaand over de feiten heeft uitgesproken, ontstaat er gewettigde twijfel over diens onpartijdigheid om de zaak nadien nog objectief ten gronde te behandelen.</w:t>
      </w:r>
    </w:p>
    <w:p w14:paraId="5E1A059B" w14:textId="5B904682" w:rsidR="00BE6373" w:rsidRDefault="00372B6F" w:rsidP="00BE6373">
      <w:pPr>
        <w:spacing w:after="120" w:line="240" w:lineRule="auto"/>
        <w:ind w:right="-284"/>
      </w:pPr>
      <w:r>
        <w:rPr>
          <w:rFonts w:cstheme="minorHAnsi"/>
          <w:b/>
          <w:bCs/>
        </w:rPr>
        <w:t>Besluit</w:t>
      </w:r>
      <w:r w:rsidR="003E380C">
        <w:rPr>
          <w:rFonts w:cstheme="minorHAnsi"/>
          <w:b/>
          <w:bCs/>
        </w:rPr>
        <w:br/>
      </w:r>
      <w:r w:rsidR="003B0D88">
        <w:rPr>
          <w:rFonts w:cstheme="minorHAnsi"/>
          <w:b/>
          <w:bCs/>
        </w:rPr>
        <w:br/>
      </w:r>
      <w:r w:rsidR="003E380C" w:rsidRPr="003E380C">
        <w:rPr>
          <w:rFonts w:cstheme="minorHAnsi"/>
        </w:rPr>
        <w:t xml:space="preserve">Het Hof van Cassatie oordeelt dat het verzoek tot wraking gegrond is. De betrokken </w:t>
      </w:r>
      <w:proofErr w:type="spellStart"/>
      <w:r w:rsidR="003E380C" w:rsidRPr="003E380C">
        <w:rPr>
          <w:rFonts w:cstheme="minorHAnsi"/>
        </w:rPr>
        <w:t>kamervoorzitter</w:t>
      </w:r>
      <w:proofErr w:type="spellEnd"/>
      <w:r w:rsidR="003E380C" w:rsidRPr="003E380C">
        <w:rPr>
          <w:rFonts w:cstheme="minorHAnsi"/>
        </w:rPr>
        <w:t xml:space="preserve"> had zich in haar eerdere arrest ogenschijnlijk al een oordeel gevormd over de kern van het geschil. Zij moet zich daarom onthouden van de zaak, en het dossier wordt doorverwezen naar een anders samengestelde kamer van het hof van beroep te Antwerpen.</w:t>
      </w:r>
      <w:r w:rsidR="003E380C" w:rsidRPr="003E380C">
        <w:rPr>
          <w:rFonts w:cstheme="minorHAnsi"/>
        </w:rPr>
        <w:br/>
      </w:r>
      <w:r w:rsidR="003B0D88" w:rsidRPr="003E380C">
        <w:rPr>
          <w:rFonts w:cstheme="minorHAnsi"/>
        </w:rPr>
        <w:br/>
      </w:r>
      <w:bookmarkEnd w:id="2"/>
      <w:bookmarkEnd w:id="3"/>
      <w:r w:rsidR="00BE6373">
        <w:fldChar w:fldCharType="begin"/>
      </w:r>
      <w:r w:rsidR="00BE6373">
        <w:instrText>HYPERLINK "https://juportal.be/content/ECLI:BE:CASS:2026:ARR.20260319.1N.11/NL"</w:instrText>
      </w:r>
      <w:r w:rsidR="00BE6373">
        <w:fldChar w:fldCharType="separate"/>
      </w:r>
      <w:r w:rsidR="00BE6373">
        <w:rPr>
          <w:rStyle w:val="Hyperlink"/>
        </w:rPr>
        <w:t xml:space="preserve">Lees het arrest </w:t>
      </w:r>
      <w:r w:rsidR="00BE6373">
        <w:fldChar w:fldCharType="end"/>
      </w:r>
    </w:p>
    <w:p w14:paraId="305D8E43" w14:textId="29CC96EB" w:rsidR="00372B6F" w:rsidRPr="00F973CD" w:rsidRDefault="00372B6F" w:rsidP="00F2263F">
      <w:pPr>
        <w:ind w:right="-284"/>
        <w:rPr>
          <w:rFonts w:ascii="Calibri" w:hAnsi="Calibri" w:cs="Calibri"/>
        </w:rPr>
      </w:pPr>
      <w:hyperlink r:id="rId7" w:history="1">
        <w:r w:rsidRPr="00F973CD">
          <w:rPr>
            <w:rStyle w:val="Hyperlink"/>
            <w:rFonts w:ascii="Calibri" w:hAnsi="Calibri" w:cs="Calibri"/>
          </w:rPr>
          <w:t>Eric B.</w:t>
        </w:r>
      </w:hyperlink>
      <w:r w:rsidRPr="00F973CD">
        <w:rPr>
          <w:rFonts w:ascii="Calibri" w:hAnsi="Calibri" w:cs="Calibri"/>
        </w:rPr>
        <w:t xml:space="preserve"> </w:t>
      </w:r>
    </w:p>
    <w:p w14:paraId="21E4079C" w14:textId="77777777" w:rsidR="0075129E" w:rsidRPr="00F973CD" w:rsidRDefault="0075129E" w:rsidP="00F2263F">
      <w:pPr>
        <w:ind w:right="-284"/>
        <w:rPr>
          <w:rFonts w:cstheme="minorHAnsi"/>
        </w:rPr>
      </w:pPr>
    </w:p>
    <w:sectPr w:rsidR="0075129E" w:rsidRPr="00F973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F1B0" w14:textId="77777777" w:rsidR="00B24738" w:rsidRDefault="00B24738" w:rsidP="00C4373D">
      <w:pPr>
        <w:spacing w:after="0" w:line="240" w:lineRule="auto"/>
      </w:pPr>
      <w:r>
        <w:separator/>
      </w:r>
    </w:p>
  </w:endnote>
  <w:endnote w:type="continuationSeparator" w:id="0">
    <w:p w14:paraId="4A1A7C2E" w14:textId="77777777" w:rsidR="00B24738" w:rsidRDefault="00B24738"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CE59" w14:textId="77777777" w:rsidR="00B24738" w:rsidRDefault="00B24738" w:rsidP="00C4373D">
      <w:pPr>
        <w:spacing w:after="0" w:line="240" w:lineRule="auto"/>
      </w:pPr>
      <w:r>
        <w:separator/>
      </w:r>
    </w:p>
  </w:footnote>
  <w:footnote w:type="continuationSeparator" w:id="0">
    <w:p w14:paraId="7A72747A" w14:textId="77777777" w:rsidR="00B24738" w:rsidRDefault="00B24738"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D88"/>
    <w:rsid w:val="003B0FAF"/>
    <w:rsid w:val="003B21D9"/>
    <w:rsid w:val="003B5070"/>
    <w:rsid w:val="003C1C82"/>
    <w:rsid w:val="003C5D14"/>
    <w:rsid w:val="003D1F3F"/>
    <w:rsid w:val="003D6884"/>
    <w:rsid w:val="003E37B0"/>
    <w:rsid w:val="003E380C"/>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9BA"/>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361"/>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4738"/>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E6373"/>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4F66"/>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kedin.com/in/eric-b-a772252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2034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2026-04-10T08:59:00Z</dcterms:created>
  <dcterms:modified xsi:type="dcterms:W3CDTF">2026-04-10T09:06:00Z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