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A6D6" w14:textId="6A6D2680" w:rsidR="00151861" w:rsidRPr="00151861" w:rsidRDefault="00810354" w:rsidP="00151861">
      <w:pPr>
        <w:rPr>
          <w:rFonts w:ascii="Calibri" w:hAnsi="Calibri" w:cs="Calibri"/>
          <w:b/>
          <w:bCs/>
        </w:rPr>
      </w:pPr>
      <w:r>
        <w:rPr>
          <w:rFonts w:ascii="Calibri" w:hAnsi="Calibri" w:cs="Calibri"/>
          <w:b/>
          <w:bCs/>
        </w:rPr>
        <w:t>Online gokken. (Buiten)contractuele aansprakelijkheid casino bij intentionele frauduleuze fouten</w:t>
      </w:r>
      <w:r w:rsidR="00407088" w:rsidRPr="00407088">
        <w:rPr>
          <w:rFonts w:ascii="Calibri" w:hAnsi="Calibri" w:cs="Calibri"/>
          <w:b/>
          <w:bCs/>
        </w:rPr>
        <w:t>. </w:t>
      </w:r>
      <w:r w:rsidR="006A314D">
        <w:rPr>
          <w:rFonts w:ascii="Calibri" w:hAnsi="Calibri" w:cs="Calibri"/>
          <w:b/>
          <w:bCs/>
        </w:rPr>
        <w:t xml:space="preserve">Cassatie </w:t>
      </w:r>
      <w:r>
        <w:rPr>
          <w:rFonts w:ascii="Calibri" w:hAnsi="Calibri" w:cs="Calibri"/>
          <w:b/>
          <w:bCs/>
        </w:rPr>
        <w:t>12</w:t>
      </w:r>
      <w:r w:rsidR="006A314D">
        <w:rPr>
          <w:rFonts w:ascii="Calibri" w:hAnsi="Calibri" w:cs="Calibri"/>
          <w:b/>
          <w:bCs/>
        </w:rPr>
        <w:t xml:space="preserve"> juni</w:t>
      </w:r>
      <w:r w:rsidR="00151861" w:rsidRPr="00151861">
        <w:rPr>
          <w:rFonts w:ascii="Calibri" w:hAnsi="Calibri" w:cs="Calibri"/>
          <w:b/>
          <w:bCs/>
        </w:rPr>
        <w:t xml:space="preserve"> 2026 </w:t>
      </w:r>
      <w:r w:rsidR="00AA6816">
        <w:rPr>
          <w:rFonts w:ascii="Calibri" w:hAnsi="Calibri" w:cs="Calibri"/>
          <w:b/>
          <w:bCs/>
        </w:rPr>
        <w:t>(Recht op zaterdag)</w:t>
      </w:r>
    </w:p>
    <w:p w14:paraId="0F455047" w14:textId="1B58E971" w:rsidR="00810354" w:rsidRPr="00810354" w:rsidRDefault="00810354" w:rsidP="00810354">
      <w:pPr>
        <w:rPr>
          <w:rFonts w:ascii="Calibri" w:hAnsi="Calibri" w:cs="Calibri"/>
          <w:b/>
          <w:bCs/>
        </w:rPr>
      </w:pPr>
      <w:r w:rsidRPr="00810354">
        <w:rPr>
          <w:rFonts w:ascii="Calibri" w:hAnsi="Calibri" w:cs="Calibri"/>
          <w:b/>
          <w:bCs/>
        </w:rPr>
        <w:t>Feiten en eerdere beslissingen</w:t>
      </w:r>
    </w:p>
    <w:p w14:paraId="445C03B4" w14:textId="77777777" w:rsidR="00810354" w:rsidRPr="00810354" w:rsidRDefault="00810354" w:rsidP="00810354">
      <w:pPr>
        <w:rPr>
          <w:rFonts w:ascii="Calibri" w:hAnsi="Calibri" w:cs="Calibri"/>
        </w:rPr>
      </w:pPr>
      <w:r w:rsidRPr="00810354">
        <w:rPr>
          <w:rFonts w:ascii="Calibri" w:hAnsi="Calibri" w:cs="Calibri"/>
        </w:rPr>
        <w:t>De betrokken speelster had in 2011 aan de Kansspelcommissie gevraagd haar de toegang tot casino’s en speelzalen te ontzeggen. In 2015 opende zij toch een online speelrekening bij Casino777, geëxploiteerd door Casino de Spa. Zij gebruikte daarbij verschillende voornamen, waardoor het EPIS-systeem haar uitsluiting niet detecteerde.</w:t>
      </w:r>
    </w:p>
    <w:p w14:paraId="3771C0D5" w14:textId="3D005F34" w:rsidR="00810354" w:rsidRPr="00810354" w:rsidRDefault="00810354" w:rsidP="00810354">
      <w:pPr>
        <w:rPr>
          <w:rFonts w:ascii="Calibri" w:hAnsi="Calibri" w:cs="Calibri"/>
        </w:rPr>
      </w:pPr>
      <w:r w:rsidRPr="00810354">
        <w:rPr>
          <w:rFonts w:ascii="Calibri" w:hAnsi="Calibri" w:cs="Calibri"/>
        </w:rPr>
        <w:t xml:space="preserve">De rechtbank van eerste aanleg en vervolgens het hof van beroep te Brussel veroordeelden Casino de Spa tot terugbetaling van 63.500 euro, vermeerderd met interesten en rechtsplegingsvergoedingen. </w:t>
      </w:r>
      <w:r>
        <w:rPr>
          <w:rFonts w:ascii="Calibri" w:hAnsi="Calibri" w:cs="Calibri"/>
        </w:rPr>
        <w:br/>
      </w:r>
      <w:r w:rsidRPr="00810354">
        <w:rPr>
          <w:rFonts w:ascii="Calibri" w:hAnsi="Calibri" w:cs="Calibri"/>
        </w:rPr>
        <w:t>Volgens het hof had het casino onder meer:</w:t>
      </w:r>
    </w:p>
    <w:p w14:paraId="62DA44B0" w14:textId="77777777" w:rsidR="00810354" w:rsidRPr="00810354" w:rsidRDefault="00810354" w:rsidP="00810354">
      <w:pPr>
        <w:rPr>
          <w:rFonts w:ascii="Calibri" w:hAnsi="Calibri" w:cs="Calibri"/>
        </w:rPr>
      </w:pPr>
      <w:r w:rsidRPr="00810354">
        <w:rPr>
          <w:rFonts w:ascii="Calibri" w:hAnsi="Calibri" w:cs="Calibri"/>
        </w:rPr>
        <w:t>- de identiteit van de speelster onvoldoende gecontroleerd;</w:t>
      </w:r>
    </w:p>
    <w:p w14:paraId="6A89EFDF" w14:textId="77777777" w:rsidR="00810354" w:rsidRPr="00810354" w:rsidRDefault="00810354" w:rsidP="00810354">
      <w:pPr>
        <w:rPr>
          <w:rFonts w:ascii="Calibri" w:hAnsi="Calibri" w:cs="Calibri"/>
        </w:rPr>
      </w:pPr>
      <w:r w:rsidRPr="00810354">
        <w:rPr>
          <w:rFonts w:ascii="Calibri" w:hAnsi="Calibri" w:cs="Calibri"/>
        </w:rPr>
        <w:t>- haar identiteitskaart niet tijdig opgevraagd of verwerkt;</w:t>
      </w:r>
    </w:p>
    <w:p w14:paraId="48C43958" w14:textId="77777777" w:rsidR="00810354" w:rsidRPr="00810354" w:rsidRDefault="00810354" w:rsidP="00810354">
      <w:pPr>
        <w:rPr>
          <w:rFonts w:ascii="Calibri" w:hAnsi="Calibri" w:cs="Calibri"/>
        </w:rPr>
      </w:pPr>
      <w:r w:rsidRPr="00810354">
        <w:rPr>
          <w:rFonts w:ascii="Calibri" w:hAnsi="Calibri" w:cs="Calibri"/>
        </w:rPr>
        <w:t>- het EPIS-systeem niet betrouwbaar genoeg geraadpleegd;</w:t>
      </w:r>
    </w:p>
    <w:p w14:paraId="2AD8BE0F" w14:textId="77777777" w:rsidR="00810354" w:rsidRPr="00810354" w:rsidRDefault="00810354" w:rsidP="00810354">
      <w:pPr>
        <w:rPr>
          <w:rFonts w:ascii="Calibri" w:hAnsi="Calibri" w:cs="Calibri"/>
        </w:rPr>
      </w:pPr>
      <w:r w:rsidRPr="00810354">
        <w:rPr>
          <w:rFonts w:ascii="Calibri" w:hAnsi="Calibri" w:cs="Calibri"/>
        </w:rPr>
        <w:t>- geen elektronische identiteitskaartlezer opgelegd aan online spelers.</w:t>
      </w:r>
    </w:p>
    <w:p w14:paraId="17920D7F" w14:textId="52512ED9" w:rsidR="00810354" w:rsidRPr="00810354" w:rsidRDefault="00810354" w:rsidP="00810354">
      <w:pPr>
        <w:rPr>
          <w:rFonts w:ascii="Calibri" w:hAnsi="Calibri" w:cs="Calibri"/>
        </w:rPr>
      </w:pPr>
      <w:r w:rsidRPr="00810354">
        <w:rPr>
          <w:rFonts w:ascii="Calibri" w:hAnsi="Calibri" w:cs="Calibri"/>
        </w:rPr>
        <w:t xml:space="preserve">Het hof oordeelde bovendien dat de verantwoordelijkheid van het casino buitencontractueel kon worden vastgesteld, ondanks het bestaan van een speelovereenkomst. </w:t>
      </w:r>
    </w:p>
    <w:p w14:paraId="3724F501" w14:textId="4E21E76B" w:rsidR="00810354" w:rsidRPr="00810354" w:rsidRDefault="00810354" w:rsidP="00810354">
      <w:pPr>
        <w:rPr>
          <w:rFonts w:ascii="Calibri" w:hAnsi="Calibri" w:cs="Calibri"/>
          <w:b/>
          <w:bCs/>
        </w:rPr>
      </w:pPr>
      <w:r w:rsidRPr="00810354">
        <w:rPr>
          <w:rFonts w:ascii="Calibri" w:hAnsi="Calibri" w:cs="Calibri"/>
          <w:b/>
          <w:bCs/>
        </w:rPr>
        <w:t>Beslissing van het Hof van Cassatie</w:t>
      </w:r>
    </w:p>
    <w:p w14:paraId="3CC158EB" w14:textId="2C16CFE6" w:rsidR="00810354" w:rsidRPr="00810354" w:rsidRDefault="00810354" w:rsidP="00810354">
      <w:pPr>
        <w:rPr>
          <w:rFonts w:ascii="Calibri" w:hAnsi="Calibri" w:cs="Calibri"/>
        </w:rPr>
      </w:pPr>
      <w:r w:rsidRPr="00810354">
        <w:rPr>
          <w:rFonts w:ascii="Calibri" w:hAnsi="Calibri" w:cs="Calibri"/>
        </w:rPr>
        <w:t>Het Hof van Cassatie vernietigt het arrest van het hof van beroep gedeeltelijk en verwijst de zaak naar het hof van beroep te Luik.</w:t>
      </w:r>
    </w:p>
    <w:p w14:paraId="34AF72A1" w14:textId="77777777" w:rsidR="00810354" w:rsidRPr="00810354" w:rsidRDefault="00810354" w:rsidP="00810354">
      <w:pPr>
        <w:rPr>
          <w:rFonts w:ascii="Calibri" w:hAnsi="Calibri" w:cs="Calibri"/>
        </w:rPr>
      </w:pPr>
      <w:r w:rsidRPr="00810354">
        <w:rPr>
          <w:rFonts w:ascii="Calibri" w:hAnsi="Calibri" w:cs="Calibri"/>
        </w:rPr>
        <w:t>Het Hof verwerpt onder meer de klachten dat het hof van beroep de motivering van zijn eigen arrest verkeerd zou hebben begrepen en dat het EPIS-systeem noodzakelijk het rijksregisternummer van de speler moest laten invoeren door de exploitant.</w:t>
      </w:r>
    </w:p>
    <w:p w14:paraId="40512719" w14:textId="6C411B13" w:rsidR="00810354" w:rsidRPr="00810354" w:rsidRDefault="00810354" w:rsidP="00810354">
      <w:pPr>
        <w:rPr>
          <w:rFonts w:ascii="Calibri" w:hAnsi="Calibri" w:cs="Calibri"/>
        </w:rPr>
      </w:pPr>
      <w:r w:rsidRPr="00810354">
        <w:rPr>
          <w:rFonts w:ascii="Calibri" w:hAnsi="Calibri" w:cs="Calibri"/>
        </w:rPr>
        <w:t xml:space="preserve">De belangrijkste cassatiegrond wordt daarentegen aanvaard: het hof van beroep had ten onrechte geweigerd te onderzoeken of de speelster zelf een </w:t>
      </w:r>
      <w:r>
        <w:rPr>
          <w:rFonts w:ascii="Calibri" w:hAnsi="Calibri" w:cs="Calibri"/>
        </w:rPr>
        <w:t>i</w:t>
      </w:r>
      <w:r w:rsidRPr="00810354">
        <w:rPr>
          <w:rFonts w:ascii="Calibri" w:hAnsi="Calibri" w:cs="Calibri"/>
        </w:rPr>
        <w:t xml:space="preserve">ntentionele frauduleuze fout had begaan door bewust valse voornamen te gebruiken en haar uitsluiting te omzeilen. </w:t>
      </w:r>
    </w:p>
    <w:p w14:paraId="0455B34A" w14:textId="5E81C346" w:rsidR="00810354" w:rsidRPr="00810354" w:rsidRDefault="00810354" w:rsidP="00810354">
      <w:pPr>
        <w:rPr>
          <w:rFonts w:ascii="Calibri" w:hAnsi="Calibri" w:cs="Calibri"/>
          <w:b/>
          <w:bCs/>
        </w:rPr>
      </w:pPr>
      <w:r w:rsidRPr="00810354">
        <w:rPr>
          <w:rFonts w:ascii="Calibri" w:hAnsi="Calibri" w:cs="Calibri"/>
          <w:b/>
          <w:bCs/>
        </w:rPr>
        <w:t xml:space="preserve">Rechtsregel: </w:t>
      </w:r>
      <w:r w:rsidRPr="00810354">
        <w:rPr>
          <w:rFonts w:ascii="Calibri" w:hAnsi="Calibri" w:cs="Calibri"/>
          <w:b/>
          <w:bCs/>
        </w:rPr>
        <w:t>‘</w:t>
      </w:r>
      <w:proofErr w:type="spellStart"/>
      <w:r w:rsidRPr="00810354">
        <w:rPr>
          <w:rFonts w:ascii="Calibri" w:hAnsi="Calibri" w:cs="Calibri"/>
          <w:b/>
          <w:bCs/>
        </w:rPr>
        <w:t>fraus</w:t>
      </w:r>
      <w:proofErr w:type="spellEnd"/>
      <w:r w:rsidRPr="00810354">
        <w:rPr>
          <w:rFonts w:ascii="Calibri" w:hAnsi="Calibri" w:cs="Calibri"/>
          <w:b/>
          <w:bCs/>
        </w:rPr>
        <w:t xml:space="preserve"> </w:t>
      </w:r>
      <w:proofErr w:type="spellStart"/>
      <w:r w:rsidRPr="00810354">
        <w:rPr>
          <w:rFonts w:ascii="Calibri" w:hAnsi="Calibri" w:cs="Calibri"/>
          <w:b/>
          <w:bCs/>
        </w:rPr>
        <w:t>omnia</w:t>
      </w:r>
      <w:proofErr w:type="spellEnd"/>
      <w:r w:rsidRPr="00810354">
        <w:rPr>
          <w:rFonts w:ascii="Calibri" w:hAnsi="Calibri" w:cs="Calibri"/>
          <w:b/>
          <w:bCs/>
        </w:rPr>
        <w:t xml:space="preserve"> </w:t>
      </w:r>
      <w:proofErr w:type="spellStart"/>
      <w:r w:rsidRPr="00810354">
        <w:rPr>
          <w:rFonts w:ascii="Calibri" w:hAnsi="Calibri" w:cs="Calibri"/>
          <w:b/>
          <w:bCs/>
        </w:rPr>
        <w:t>corrumpit</w:t>
      </w:r>
      <w:proofErr w:type="spellEnd"/>
      <w:r w:rsidRPr="00810354">
        <w:rPr>
          <w:rFonts w:ascii="Calibri" w:hAnsi="Calibri" w:cs="Calibri"/>
          <w:b/>
          <w:bCs/>
        </w:rPr>
        <w:t>’</w:t>
      </w:r>
    </w:p>
    <w:p w14:paraId="36D4C972" w14:textId="5B65BD6A" w:rsidR="00810354" w:rsidRPr="00810354" w:rsidRDefault="00810354" w:rsidP="00810354">
      <w:pPr>
        <w:rPr>
          <w:rFonts w:ascii="Calibri" w:hAnsi="Calibri" w:cs="Calibri"/>
        </w:rPr>
      </w:pPr>
      <w:r w:rsidRPr="00810354">
        <w:rPr>
          <w:rFonts w:ascii="Calibri" w:hAnsi="Calibri" w:cs="Calibri"/>
        </w:rPr>
        <w:t xml:space="preserve">Volgens het Hof geldt het algemene rechtsbeginsel </w:t>
      </w:r>
      <w:r>
        <w:rPr>
          <w:rFonts w:ascii="Calibri" w:hAnsi="Calibri" w:cs="Calibri"/>
        </w:rPr>
        <w:t>‘</w:t>
      </w:r>
      <w:proofErr w:type="spellStart"/>
      <w:r w:rsidRPr="00810354">
        <w:rPr>
          <w:rFonts w:ascii="Calibri" w:hAnsi="Calibri" w:cs="Calibri"/>
        </w:rPr>
        <w:t>fraus</w:t>
      </w:r>
      <w:proofErr w:type="spellEnd"/>
      <w:r w:rsidRPr="00810354">
        <w:rPr>
          <w:rFonts w:ascii="Calibri" w:hAnsi="Calibri" w:cs="Calibri"/>
        </w:rPr>
        <w:t xml:space="preserve"> </w:t>
      </w:r>
      <w:proofErr w:type="spellStart"/>
      <w:r w:rsidRPr="00810354">
        <w:rPr>
          <w:rFonts w:ascii="Calibri" w:hAnsi="Calibri" w:cs="Calibri"/>
        </w:rPr>
        <w:t>omnia</w:t>
      </w:r>
      <w:proofErr w:type="spellEnd"/>
      <w:r w:rsidRPr="00810354">
        <w:rPr>
          <w:rFonts w:ascii="Calibri" w:hAnsi="Calibri" w:cs="Calibri"/>
        </w:rPr>
        <w:t xml:space="preserve"> </w:t>
      </w:r>
      <w:proofErr w:type="spellStart"/>
      <w:r w:rsidRPr="00810354">
        <w:rPr>
          <w:rFonts w:ascii="Calibri" w:hAnsi="Calibri" w:cs="Calibri"/>
        </w:rPr>
        <w:t>corrumpit</w:t>
      </w:r>
      <w:proofErr w:type="spellEnd"/>
      <w:r>
        <w:rPr>
          <w:rFonts w:ascii="Calibri" w:hAnsi="Calibri" w:cs="Calibri"/>
        </w:rPr>
        <w:t>’</w:t>
      </w:r>
      <w:r w:rsidRPr="00810354">
        <w:rPr>
          <w:rFonts w:ascii="Calibri" w:hAnsi="Calibri" w:cs="Calibri"/>
        </w:rPr>
        <w:t xml:space="preserve"> ook in deze context. Een persoon die door frauduleus gedrag een schade veroorzaakt of eraan bijdraagt, kan niet zonder meer volledige vergoeding vorderen door zich uitsluitend te beroepen op de fout van een derde.</w:t>
      </w:r>
    </w:p>
    <w:p w14:paraId="3B97CED8" w14:textId="77777777" w:rsidR="00810354" w:rsidRDefault="00810354" w:rsidP="00810354">
      <w:pPr>
        <w:rPr>
          <w:rFonts w:ascii="Calibri" w:hAnsi="Calibri" w:cs="Calibri"/>
        </w:rPr>
      </w:pPr>
      <w:r w:rsidRPr="00810354">
        <w:rPr>
          <w:rFonts w:ascii="Calibri" w:hAnsi="Calibri" w:cs="Calibri"/>
        </w:rPr>
        <w:t xml:space="preserve">Het hof van beroep had de fraude van de speelster als irrelevant beschouwd met het argument dat de wettelijke controleverplichtingen juist bedoeld zijn om verslaafde en frauderende spelers tegen zichzelf te beschermen. Dat volstaat niet. </w:t>
      </w:r>
    </w:p>
    <w:p w14:paraId="00327275" w14:textId="49E70444" w:rsidR="00810354" w:rsidRPr="00810354" w:rsidRDefault="00810354" w:rsidP="00810354">
      <w:pPr>
        <w:rPr>
          <w:rFonts w:ascii="Calibri" w:hAnsi="Calibri" w:cs="Calibri"/>
        </w:rPr>
      </w:pPr>
      <w:r w:rsidRPr="00810354">
        <w:rPr>
          <w:rFonts w:ascii="Calibri" w:hAnsi="Calibri" w:cs="Calibri"/>
        </w:rPr>
        <w:t>De rechter moest concreet nagaan:</w:t>
      </w:r>
    </w:p>
    <w:p w14:paraId="65004801" w14:textId="77777777" w:rsidR="00810354" w:rsidRPr="00810354" w:rsidRDefault="00810354" w:rsidP="00810354">
      <w:pPr>
        <w:rPr>
          <w:rFonts w:ascii="Calibri" w:hAnsi="Calibri" w:cs="Calibri"/>
        </w:rPr>
      </w:pPr>
      <w:r w:rsidRPr="00810354">
        <w:rPr>
          <w:rFonts w:ascii="Calibri" w:hAnsi="Calibri" w:cs="Calibri"/>
        </w:rPr>
        <w:t>- of de speelster opzettelijk en frauduleus heeft gehandeld;</w:t>
      </w:r>
    </w:p>
    <w:p w14:paraId="56D72D39" w14:textId="77777777" w:rsidR="00810354" w:rsidRPr="00810354" w:rsidRDefault="00810354" w:rsidP="00810354">
      <w:pPr>
        <w:rPr>
          <w:rFonts w:ascii="Calibri" w:hAnsi="Calibri" w:cs="Calibri"/>
        </w:rPr>
      </w:pPr>
      <w:r w:rsidRPr="00810354">
        <w:rPr>
          <w:rFonts w:ascii="Calibri" w:hAnsi="Calibri" w:cs="Calibri"/>
        </w:rPr>
        <w:t>- welke invloed haar gedrag had op het ontstaan van de schade;</w:t>
      </w:r>
    </w:p>
    <w:p w14:paraId="17EEBBE7" w14:textId="77777777" w:rsidR="00810354" w:rsidRPr="00810354" w:rsidRDefault="00810354" w:rsidP="00810354">
      <w:pPr>
        <w:rPr>
          <w:rFonts w:ascii="Calibri" w:hAnsi="Calibri" w:cs="Calibri"/>
        </w:rPr>
      </w:pPr>
      <w:r w:rsidRPr="00810354">
        <w:rPr>
          <w:rFonts w:ascii="Calibri" w:hAnsi="Calibri" w:cs="Calibri"/>
        </w:rPr>
        <w:t>- of er sprake is van gedeelde aansprakelijkheid;</w:t>
      </w:r>
    </w:p>
    <w:p w14:paraId="3CAB3860" w14:textId="6FE94DC7" w:rsidR="00810354" w:rsidRPr="00810354" w:rsidRDefault="00810354" w:rsidP="00810354">
      <w:pPr>
        <w:rPr>
          <w:rFonts w:ascii="Calibri" w:hAnsi="Calibri" w:cs="Calibri"/>
        </w:rPr>
      </w:pPr>
      <w:r w:rsidRPr="00810354">
        <w:rPr>
          <w:rFonts w:ascii="Calibri" w:hAnsi="Calibri" w:cs="Calibri"/>
        </w:rPr>
        <w:t xml:space="preserve">- of een volledige schadevergoeding verenigbaar is met het beginsel </w:t>
      </w:r>
      <w:r>
        <w:rPr>
          <w:rFonts w:ascii="Calibri" w:hAnsi="Calibri" w:cs="Calibri"/>
        </w:rPr>
        <w:t>‘</w:t>
      </w:r>
      <w:proofErr w:type="spellStart"/>
      <w:r w:rsidRPr="00810354">
        <w:rPr>
          <w:rFonts w:ascii="Calibri" w:hAnsi="Calibri" w:cs="Calibri"/>
        </w:rPr>
        <w:t>fraus</w:t>
      </w:r>
      <w:proofErr w:type="spellEnd"/>
      <w:r w:rsidRPr="00810354">
        <w:rPr>
          <w:rFonts w:ascii="Calibri" w:hAnsi="Calibri" w:cs="Calibri"/>
        </w:rPr>
        <w:t xml:space="preserve"> </w:t>
      </w:r>
      <w:proofErr w:type="spellStart"/>
      <w:r w:rsidRPr="00810354">
        <w:rPr>
          <w:rFonts w:ascii="Calibri" w:hAnsi="Calibri" w:cs="Calibri"/>
        </w:rPr>
        <w:t>omnia</w:t>
      </w:r>
      <w:proofErr w:type="spellEnd"/>
      <w:r w:rsidRPr="00810354">
        <w:rPr>
          <w:rFonts w:ascii="Calibri" w:hAnsi="Calibri" w:cs="Calibri"/>
        </w:rPr>
        <w:t xml:space="preserve"> </w:t>
      </w:r>
      <w:proofErr w:type="spellStart"/>
      <w:r w:rsidRPr="00810354">
        <w:rPr>
          <w:rFonts w:ascii="Calibri" w:hAnsi="Calibri" w:cs="Calibri"/>
        </w:rPr>
        <w:t>corrumpit</w:t>
      </w:r>
      <w:proofErr w:type="spellEnd"/>
      <w:r>
        <w:rPr>
          <w:rFonts w:ascii="Calibri" w:hAnsi="Calibri" w:cs="Calibri"/>
        </w:rPr>
        <w:t>’</w:t>
      </w:r>
      <w:r w:rsidRPr="00810354">
        <w:rPr>
          <w:rFonts w:ascii="Calibri" w:hAnsi="Calibri" w:cs="Calibri"/>
        </w:rPr>
        <w:t>.</w:t>
      </w:r>
    </w:p>
    <w:p w14:paraId="53C16ADF" w14:textId="6459C62C" w:rsidR="00810354" w:rsidRPr="00810354" w:rsidRDefault="00810354" w:rsidP="00810354">
      <w:pPr>
        <w:rPr>
          <w:rFonts w:ascii="Calibri" w:hAnsi="Calibri" w:cs="Calibri"/>
        </w:rPr>
      </w:pPr>
      <w:r w:rsidRPr="00810354">
        <w:rPr>
          <w:rFonts w:ascii="Calibri" w:hAnsi="Calibri" w:cs="Calibri"/>
        </w:rPr>
        <w:lastRenderedPageBreak/>
        <w:t xml:space="preserve">Het Hof preciseert daarmee niet dat de speelster noodzakelijk haar volledige vordering verliest, maar wel dat haar mogelijke fraude juridisch relevant is en niet buiten beschouwing mocht worden gelaten. </w:t>
      </w:r>
    </w:p>
    <w:p w14:paraId="00F27FAD" w14:textId="6F47CF2E" w:rsidR="00810354" w:rsidRPr="00810354" w:rsidRDefault="00810354" w:rsidP="00810354">
      <w:pPr>
        <w:rPr>
          <w:rFonts w:ascii="Calibri" w:hAnsi="Calibri" w:cs="Calibri"/>
          <w:b/>
          <w:bCs/>
        </w:rPr>
      </w:pPr>
      <w:r w:rsidRPr="00810354">
        <w:rPr>
          <w:rFonts w:ascii="Calibri" w:hAnsi="Calibri" w:cs="Calibri"/>
          <w:b/>
          <w:bCs/>
        </w:rPr>
        <w:t>Contractuele en buitencontractuele aansprakelijkheid</w:t>
      </w:r>
    </w:p>
    <w:p w14:paraId="2CCE6576" w14:textId="30E40F39" w:rsidR="00810354" w:rsidRPr="00810354" w:rsidRDefault="00810354" w:rsidP="00810354">
      <w:pPr>
        <w:rPr>
          <w:rFonts w:ascii="Calibri" w:hAnsi="Calibri" w:cs="Calibri"/>
        </w:rPr>
      </w:pPr>
      <w:r w:rsidRPr="00810354">
        <w:rPr>
          <w:rFonts w:ascii="Calibri" w:hAnsi="Calibri" w:cs="Calibri"/>
        </w:rPr>
        <w:t>Het Hof bevestigt ook dat, wanneer een contract tussen partijen bestaat, de voorwaarden voor buitencontractuele aansprakelijkheid moeten worden gerespecteerd. Een contractant kan slechts buitencontractueel optreden wanneer:</w:t>
      </w:r>
    </w:p>
    <w:p w14:paraId="05171BAA" w14:textId="77777777" w:rsidR="00810354" w:rsidRPr="00810354" w:rsidRDefault="00810354" w:rsidP="00810354">
      <w:pPr>
        <w:rPr>
          <w:rFonts w:ascii="Calibri" w:hAnsi="Calibri" w:cs="Calibri"/>
        </w:rPr>
      </w:pPr>
      <w:r w:rsidRPr="00810354">
        <w:rPr>
          <w:rFonts w:ascii="Calibri" w:hAnsi="Calibri" w:cs="Calibri"/>
        </w:rPr>
        <w:t xml:space="preserve">1. de verweten fout niet alleen een contractuele tekortkoming vormt, maar ook een schending van de algemene zorgvuldigheidsnorm is; en  </w:t>
      </w:r>
    </w:p>
    <w:p w14:paraId="628CFA49" w14:textId="77777777" w:rsidR="00810354" w:rsidRPr="00810354" w:rsidRDefault="00810354" w:rsidP="00810354">
      <w:pPr>
        <w:rPr>
          <w:rFonts w:ascii="Calibri" w:hAnsi="Calibri" w:cs="Calibri"/>
        </w:rPr>
      </w:pPr>
      <w:r w:rsidRPr="00810354">
        <w:rPr>
          <w:rFonts w:ascii="Calibri" w:hAnsi="Calibri" w:cs="Calibri"/>
        </w:rPr>
        <w:t>2. de schade verschilt van de schade die voortvloeit uit de loutere niet-uitvoering van het contract.</w:t>
      </w:r>
    </w:p>
    <w:p w14:paraId="47B0E380" w14:textId="1043FA28" w:rsidR="00810354" w:rsidRPr="00810354" w:rsidRDefault="00810354" w:rsidP="00810354">
      <w:pPr>
        <w:rPr>
          <w:rFonts w:ascii="Calibri" w:hAnsi="Calibri" w:cs="Calibri"/>
        </w:rPr>
      </w:pPr>
      <w:r w:rsidRPr="00810354">
        <w:rPr>
          <w:rFonts w:ascii="Calibri" w:hAnsi="Calibri" w:cs="Calibri"/>
        </w:rPr>
        <w:t xml:space="preserve">Het hof van beroep had de bewijslast echter bij Casino de Spa gelegd door te verlangen dat het casino aantoonde dat de wettelijke schending geen afzonderlijke buitencontractuele fout vormde en dat de schade samenviel met contractuele schade. Volgens het Hof van Cassatie was dat een onjuiste verdeling van de bewijslast. </w:t>
      </w:r>
    </w:p>
    <w:p w14:paraId="6814803C" w14:textId="1AE0958B" w:rsidR="00810354" w:rsidRPr="00810354" w:rsidRDefault="00810354" w:rsidP="00810354">
      <w:pPr>
        <w:rPr>
          <w:rFonts w:ascii="Calibri" w:hAnsi="Calibri" w:cs="Calibri"/>
          <w:b/>
          <w:bCs/>
        </w:rPr>
      </w:pPr>
      <w:r w:rsidRPr="00810354">
        <w:rPr>
          <w:rFonts w:ascii="Calibri" w:hAnsi="Calibri" w:cs="Calibri"/>
          <w:b/>
          <w:bCs/>
        </w:rPr>
        <w:t>Praktisch belang</w:t>
      </w:r>
    </w:p>
    <w:p w14:paraId="1025B9E0" w14:textId="77777777" w:rsidR="00810354" w:rsidRPr="00810354" w:rsidRDefault="00810354" w:rsidP="00810354">
      <w:pPr>
        <w:rPr>
          <w:rFonts w:ascii="Calibri" w:hAnsi="Calibri" w:cs="Calibri"/>
        </w:rPr>
      </w:pPr>
      <w:r w:rsidRPr="00810354">
        <w:rPr>
          <w:rFonts w:ascii="Calibri" w:hAnsi="Calibri" w:cs="Calibri"/>
        </w:rPr>
        <w:t>Het arrest heeft vooral belang voor:</w:t>
      </w:r>
    </w:p>
    <w:p w14:paraId="66393E06" w14:textId="77777777" w:rsidR="00810354" w:rsidRPr="00810354" w:rsidRDefault="00810354" w:rsidP="00810354">
      <w:pPr>
        <w:rPr>
          <w:rFonts w:ascii="Calibri" w:hAnsi="Calibri" w:cs="Calibri"/>
        </w:rPr>
      </w:pPr>
      <w:r w:rsidRPr="00810354">
        <w:rPr>
          <w:rFonts w:ascii="Calibri" w:hAnsi="Calibri" w:cs="Calibri"/>
        </w:rPr>
        <w:t>- de controleverplichtingen van online kansspelaanbieders;</w:t>
      </w:r>
    </w:p>
    <w:p w14:paraId="3D0D4951" w14:textId="77777777" w:rsidR="00810354" w:rsidRPr="00810354" w:rsidRDefault="00810354" w:rsidP="00810354">
      <w:pPr>
        <w:rPr>
          <w:rFonts w:ascii="Calibri" w:hAnsi="Calibri" w:cs="Calibri"/>
        </w:rPr>
      </w:pPr>
      <w:r w:rsidRPr="00810354">
        <w:rPr>
          <w:rFonts w:ascii="Calibri" w:hAnsi="Calibri" w:cs="Calibri"/>
        </w:rPr>
        <w:t xml:space="preserve">- de verhouding tussen wettelijke </w:t>
      </w:r>
      <w:proofErr w:type="spellStart"/>
      <w:r w:rsidRPr="00810354">
        <w:rPr>
          <w:rFonts w:ascii="Calibri" w:hAnsi="Calibri" w:cs="Calibri"/>
        </w:rPr>
        <w:t>toezichtsplichten</w:t>
      </w:r>
      <w:proofErr w:type="spellEnd"/>
      <w:r w:rsidRPr="00810354">
        <w:rPr>
          <w:rFonts w:ascii="Calibri" w:hAnsi="Calibri" w:cs="Calibri"/>
        </w:rPr>
        <w:t xml:space="preserve"> en aansprakelijkheid;</w:t>
      </w:r>
    </w:p>
    <w:p w14:paraId="41C279CC" w14:textId="2C3B8660" w:rsidR="00810354" w:rsidRPr="00810354" w:rsidRDefault="00810354" w:rsidP="00810354">
      <w:pPr>
        <w:rPr>
          <w:rFonts w:ascii="Calibri" w:hAnsi="Calibri" w:cs="Calibri"/>
        </w:rPr>
      </w:pPr>
      <w:r w:rsidRPr="00810354">
        <w:rPr>
          <w:rFonts w:ascii="Calibri" w:hAnsi="Calibri" w:cs="Calibri"/>
        </w:rPr>
        <w:t xml:space="preserve">- de toepassing van </w:t>
      </w:r>
      <w:r>
        <w:rPr>
          <w:rFonts w:ascii="Calibri" w:hAnsi="Calibri" w:cs="Calibri"/>
        </w:rPr>
        <w:t>‘</w:t>
      </w:r>
      <w:proofErr w:type="spellStart"/>
      <w:r w:rsidRPr="00810354">
        <w:rPr>
          <w:rFonts w:ascii="Calibri" w:hAnsi="Calibri" w:cs="Calibri"/>
        </w:rPr>
        <w:t>fraus</w:t>
      </w:r>
      <w:proofErr w:type="spellEnd"/>
      <w:r w:rsidRPr="00810354">
        <w:rPr>
          <w:rFonts w:ascii="Calibri" w:hAnsi="Calibri" w:cs="Calibri"/>
        </w:rPr>
        <w:t xml:space="preserve"> </w:t>
      </w:r>
      <w:proofErr w:type="spellStart"/>
      <w:r w:rsidRPr="00810354">
        <w:rPr>
          <w:rFonts w:ascii="Calibri" w:hAnsi="Calibri" w:cs="Calibri"/>
        </w:rPr>
        <w:t>omnia</w:t>
      </w:r>
      <w:proofErr w:type="spellEnd"/>
      <w:r w:rsidRPr="00810354">
        <w:rPr>
          <w:rFonts w:ascii="Calibri" w:hAnsi="Calibri" w:cs="Calibri"/>
        </w:rPr>
        <w:t xml:space="preserve"> </w:t>
      </w:r>
      <w:proofErr w:type="spellStart"/>
      <w:r w:rsidRPr="00810354">
        <w:rPr>
          <w:rFonts w:ascii="Calibri" w:hAnsi="Calibri" w:cs="Calibri"/>
        </w:rPr>
        <w:t>corrumpit</w:t>
      </w:r>
      <w:proofErr w:type="spellEnd"/>
      <w:r>
        <w:rPr>
          <w:rFonts w:ascii="Calibri" w:hAnsi="Calibri" w:cs="Calibri"/>
        </w:rPr>
        <w:t>’</w:t>
      </w:r>
      <w:r w:rsidRPr="00810354">
        <w:rPr>
          <w:rFonts w:ascii="Calibri" w:hAnsi="Calibri" w:cs="Calibri"/>
        </w:rPr>
        <w:t xml:space="preserve"> bij frauduleus gedrag van de benadeelde;</w:t>
      </w:r>
    </w:p>
    <w:p w14:paraId="5CC76AFD" w14:textId="77777777" w:rsidR="00810354" w:rsidRPr="00810354" w:rsidRDefault="00810354" w:rsidP="00810354">
      <w:pPr>
        <w:rPr>
          <w:rFonts w:ascii="Calibri" w:hAnsi="Calibri" w:cs="Calibri"/>
        </w:rPr>
      </w:pPr>
      <w:r w:rsidRPr="00810354">
        <w:rPr>
          <w:rFonts w:ascii="Calibri" w:hAnsi="Calibri" w:cs="Calibri"/>
        </w:rPr>
        <w:t>- de beoordeling van medefout en gedeelde aansprakelijkheid;</w:t>
      </w:r>
    </w:p>
    <w:p w14:paraId="69604A9E" w14:textId="77777777" w:rsidR="00810354" w:rsidRPr="00810354" w:rsidRDefault="00810354" w:rsidP="00810354">
      <w:pPr>
        <w:rPr>
          <w:rFonts w:ascii="Calibri" w:hAnsi="Calibri" w:cs="Calibri"/>
        </w:rPr>
      </w:pPr>
      <w:r w:rsidRPr="00810354">
        <w:rPr>
          <w:rFonts w:ascii="Calibri" w:hAnsi="Calibri" w:cs="Calibri"/>
        </w:rPr>
        <w:t>- de afbakening tussen contractuele en buitencontractuele aansprakelijkheid.</w:t>
      </w:r>
    </w:p>
    <w:p w14:paraId="2426B119" w14:textId="77777777" w:rsidR="00810354" w:rsidRDefault="00810354" w:rsidP="00810354">
      <w:pPr>
        <w:rPr>
          <w:rFonts w:ascii="Calibri" w:hAnsi="Calibri" w:cs="Calibri"/>
        </w:rPr>
      </w:pPr>
      <w:r w:rsidRPr="00810354">
        <w:rPr>
          <w:rFonts w:ascii="Calibri" w:hAnsi="Calibri" w:cs="Calibri"/>
        </w:rPr>
        <w:t>De verwijzingsrechter zal opnieuw moeten onderzoeken of Casino de Spa aansprakelijk is, in welke mate de speelster zelf door haar frauduleuze handelwijze heeft bijgedragen aan de schade en of een volledige terugbetaling van de verliezen juridisch verantwoord is.</w:t>
      </w:r>
      <w:r w:rsidRPr="00810354">
        <w:rPr>
          <w:rFonts w:ascii="Calibri" w:hAnsi="Calibri" w:cs="Calibri"/>
        </w:rPr>
        <w:t xml:space="preserve"> </w:t>
      </w:r>
    </w:p>
    <w:p w14:paraId="61E640E3" w14:textId="029EE0E7" w:rsidR="00407088" w:rsidRDefault="00810354" w:rsidP="00810354">
      <w:pPr>
        <w:rPr>
          <w:rFonts w:ascii="Calibri" w:hAnsi="Calibri" w:cs="Calibri"/>
        </w:rPr>
      </w:pPr>
      <w:hyperlink r:id="rId4" w:history="1">
        <w:r>
          <w:rPr>
            <w:rStyle w:val="Hyperlink"/>
            <w:rFonts w:ascii="Calibri" w:hAnsi="Calibri" w:cs="Calibri"/>
          </w:rPr>
          <w:t xml:space="preserve">Lees het arrest </w:t>
        </w:r>
      </w:hyperlink>
    </w:p>
    <w:p w14:paraId="63D44AB4" w14:textId="77777777" w:rsidR="00810354" w:rsidRPr="00151861" w:rsidRDefault="00810354">
      <w:pPr>
        <w:rPr>
          <w:rFonts w:ascii="Calibri" w:hAnsi="Calibri" w:cs="Calibri"/>
        </w:rPr>
      </w:pPr>
    </w:p>
    <w:sectPr w:rsidR="00810354" w:rsidRPr="00151861" w:rsidSect="008D77C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61"/>
    <w:rsid w:val="000B1182"/>
    <w:rsid w:val="000B68BD"/>
    <w:rsid w:val="00151861"/>
    <w:rsid w:val="0020221D"/>
    <w:rsid w:val="003D6D92"/>
    <w:rsid w:val="00407088"/>
    <w:rsid w:val="005D7A29"/>
    <w:rsid w:val="005F4487"/>
    <w:rsid w:val="00646E44"/>
    <w:rsid w:val="006A314D"/>
    <w:rsid w:val="006E38CA"/>
    <w:rsid w:val="007D1EE4"/>
    <w:rsid w:val="00810354"/>
    <w:rsid w:val="008D77C4"/>
    <w:rsid w:val="00915AFE"/>
    <w:rsid w:val="0098677F"/>
    <w:rsid w:val="00AA6816"/>
    <w:rsid w:val="00AB6C68"/>
    <w:rsid w:val="00B11B20"/>
    <w:rsid w:val="00B72295"/>
    <w:rsid w:val="00DB55EE"/>
    <w:rsid w:val="00DE606D"/>
    <w:rsid w:val="00E95F30"/>
    <w:rsid w:val="00EC0D0C"/>
    <w:rsid w:val="00EF5A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720F"/>
  <w15:chartTrackingRefBased/>
  <w15:docId w15:val="{31B11873-72A2-415F-9E00-C085E93A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1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1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18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18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18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18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18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18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18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8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8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8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8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8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8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8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8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861"/>
    <w:rPr>
      <w:rFonts w:eastAsiaTheme="majorEastAsia" w:cstheme="majorBidi"/>
      <w:color w:val="272727" w:themeColor="text1" w:themeTint="D8"/>
    </w:rPr>
  </w:style>
  <w:style w:type="paragraph" w:styleId="Titel">
    <w:name w:val="Title"/>
    <w:basedOn w:val="Standaard"/>
    <w:next w:val="Standaard"/>
    <w:link w:val="TitelChar"/>
    <w:uiPriority w:val="10"/>
    <w:qFormat/>
    <w:rsid w:val="00151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18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8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18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8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1861"/>
    <w:rPr>
      <w:i/>
      <w:iCs/>
      <w:color w:val="404040" w:themeColor="text1" w:themeTint="BF"/>
    </w:rPr>
  </w:style>
  <w:style w:type="paragraph" w:styleId="Lijstalinea">
    <w:name w:val="List Paragraph"/>
    <w:basedOn w:val="Standaard"/>
    <w:uiPriority w:val="34"/>
    <w:qFormat/>
    <w:rsid w:val="00151861"/>
    <w:pPr>
      <w:ind w:left="720"/>
      <w:contextualSpacing/>
    </w:pPr>
  </w:style>
  <w:style w:type="character" w:styleId="Intensievebenadrukking">
    <w:name w:val="Intense Emphasis"/>
    <w:basedOn w:val="Standaardalinea-lettertype"/>
    <w:uiPriority w:val="21"/>
    <w:qFormat/>
    <w:rsid w:val="00151861"/>
    <w:rPr>
      <w:i/>
      <w:iCs/>
      <w:color w:val="0F4761" w:themeColor="accent1" w:themeShade="BF"/>
    </w:rPr>
  </w:style>
  <w:style w:type="paragraph" w:styleId="Duidelijkcitaat">
    <w:name w:val="Intense Quote"/>
    <w:basedOn w:val="Standaard"/>
    <w:next w:val="Standaard"/>
    <w:link w:val="DuidelijkcitaatChar"/>
    <w:uiPriority w:val="30"/>
    <w:qFormat/>
    <w:rsid w:val="00151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1861"/>
    <w:rPr>
      <w:i/>
      <w:iCs/>
      <w:color w:val="0F4761" w:themeColor="accent1" w:themeShade="BF"/>
    </w:rPr>
  </w:style>
  <w:style w:type="character" w:styleId="Intensieveverwijzing">
    <w:name w:val="Intense Reference"/>
    <w:basedOn w:val="Standaardalinea-lettertype"/>
    <w:uiPriority w:val="32"/>
    <w:qFormat/>
    <w:rsid w:val="00151861"/>
    <w:rPr>
      <w:b/>
      <w:bCs/>
      <w:smallCaps/>
      <w:color w:val="0F4761" w:themeColor="accent1" w:themeShade="BF"/>
      <w:spacing w:val="5"/>
    </w:rPr>
  </w:style>
  <w:style w:type="character" w:styleId="Hyperlink">
    <w:name w:val="Hyperlink"/>
    <w:basedOn w:val="Standaardalinea-lettertype"/>
    <w:uiPriority w:val="99"/>
    <w:unhideWhenUsed/>
    <w:rsid w:val="00151861"/>
    <w:rPr>
      <w:color w:val="467886" w:themeColor="hyperlink"/>
      <w:u w:val="single"/>
    </w:rPr>
  </w:style>
  <w:style w:type="character" w:styleId="Onopgelostemelding">
    <w:name w:val="Unresolved Mention"/>
    <w:basedOn w:val="Standaardalinea-lettertype"/>
    <w:uiPriority w:val="99"/>
    <w:semiHidden/>
    <w:unhideWhenUsed/>
    <w:rsid w:val="00151861"/>
    <w:rPr>
      <w:color w:val="605E5C"/>
      <w:shd w:val="clear" w:color="auto" w:fill="E1DFDD"/>
    </w:rPr>
  </w:style>
  <w:style w:type="character" w:styleId="GevolgdeHyperlink">
    <w:name w:val="FollowedHyperlink"/>
    <w:basedOn w:val="Standaardalinea-lettertype"/>
    <w:uiPriority w:val="99"/>
    <w:semiHidden/>
    <w:unhideWhenUsed/>
    <w:rsid w:val="00EC0D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uportal.be/content/ECLI:BE:CASS:2026:ARR.20260612.1F.7/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693</Words>
  <Characters>3815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Vandecasteele</dc:creator>
  <cp:keywords/>
  <dc:description/>
  <cp:lastModifiedBy>Marc Vandecasteele</cp:lastModifiedBy>
  <cp:revision>2</cp:revision>
  <dcterms:created xsi:type="dcterms:W3CDTF">2026-08-21T20:32:00Z</dcterms:created>
  <dcterms:modified xsi:type="dcterms:W3CDTF">2026-08-21T20:32:00Z</dcterms:modified>
</cp:coreProperties>
</file>